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755BC" w:rsidRDefault="00007562" w:rsidP="007C44D8">
      <w:pPr>
        <w:shd w:val="clear" w:color="auto" w:fill="A6A6A6" w:themeFill="background1" w:themeFillShade="A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-208280</wp:posOffset>
            </wp:positionH>
            <wp:positionV relativeFrom="paragraph">
              <wp:posOffset>95885</wp:posOffset>
            </wp:positionV>
            <wp:extent cx="105219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118" y="21382"/>
                <wp:lineTo x="21118" y="0"/>
                <wp:lineTo x="0" y="0"/>
              </wp:wrapPolygon>
            </wp:wrapTight>
            <wp:docPr id="1" name="Image 1" descr="C:\Documents and Settings\Secrétaire\Bureau\Blason laire_definiti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rétaire\Bureau\Blason laire_definitif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B53">
        <w:rPr>
          <w:rFonts w:ascii="Bookman Old Style" w:hAnsi="Bookman Old Style"/>
          <w:b/>
          <w:sz w:val="32"/>
          <w:szCs w:val="32"/>
        </w:rPr>
        <w:t xml:space="preserve">Compte-rendu du conseil municipal du </w:t>
      </w:r>
    </w:p>
    <w:p w:rsidR="00BD6B53" w:rsidRDefault="00656ABF" w:rsidP="007C44D8">
      <w:pPr>
        <w:shd w:val="clear" w:color="auto" w:fill="A6A6A6" w:themeFill="background1" w:themeFillShade="A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M</w:t>
      </w:r>
      <w:r w:rsidR="00AF120E">
        <w:rPr>
          <w:rFonts w:ascii="Bookman Old Style" w:hAnsi="Bookman Old Style"/>
          <w:b/>
          <w:sz w:val="32"/>
          <w:szCs w:val="32"/>
        </w:rPr>
        <w:t xml:space="preserve">ercredi </w:t>
      </w:r>
      <w:r w:rsidR="002F68D2">
        <w:rPr>
          <w:rFonts w:ascii="Bookman Old Style" w:hAnsi="Bookman Old Style"/>
          <w:b/>
          <w:sz w:val="32"/>
          <w:szCs w:val="32"/>
        </w:rPr>
        <w:t>7</w:t>
      </w:r>
      <w:r w:rsidR="00E052F9">
        <w:rPr>
          <w:rFonts w:ascii="Bookman Old Style" w:hAnsi="Bookman Old Style"/>
          <w:b/>
          <w:sz w:val="32"/>
          <w:szCs w:val="32"/>
        </w:rPr>
        <w:t xml:space="preserve"> </w:t>
      </w:r>
      <w:r w:rsidR="00AF120E">
        <w:rPr>
          <w:rFonts w:ascii="Bookman Old Style" w:hAnsi="Bookman Old Style"/>
          <w:b/>
          <w:sz w:val="32"/>
          <w:szCs w:val="32"/>
        </w:rPr>
        <w:t>juin</w:t>
      </w:r>
      <w:r w:rsidR="00E052F9">
        <w:rPr>
          <w:rFonts w:ascii="Bookman Old Style" w:hAnsi="Bookman Old Style"/>
          <w:b/>
          <w:sz w:val="32"/>
          <w:szCs w:val="32"/>
        </w:rPr>
        <w:t xml:space="preserve"> 2017</w:t>
      </w:r>
      <w:r w:rsidR="00797625">
        <w:rPr>
          <w:rFonts w:ascii="Bookman Old Style" w:hAnsi="Bookman Old Style"/>
          <w:b/>
          <w:sz w:val="32"/>
          <w:szCs w:val="32"/>
        </w:rPr>
        <w:t xml:space="preserve"> </w:t>
      </w:r>
    </w:p>
    <w:p w:rsidR="00BD6B53" w:rsidRDefault="009A722D" w:rsidP="007C44D8">
      <w:pPr>
        <w:shd w:val="clear" w:color="auto" w:fill="A6A6A6" w:themeFill="background1" w:themeFillShade="A6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LAIRE</w:t>
      </w:r>
    </w:p>
    <w:p w:rsidR="003B0D20" w:rsidRDefault="003B0D20" w:rsidP="00196C7F">
      <w:pPr>
        <w:rPr>
          <w:b/>
          <w:sz w:val="28"/>
          <w:szCs w:val="28"/>
          <w:u w:val="single"/>
        </w:rPr>
      </w:pPr>
    </w:p>
    <w:p w:rsidR="00B73447" w:rsidRDefault="00B73447" w:rsidP="00196C7F">
      <w:pPr>
        <w:rPr>
          <w:b/>
          <w:sz w:val="28"/>
          <w:szCs w:val="28"/>
          <w:u w:val="single"/>
        </w:rPr>
      </w:pPr>
    </w:p>
    <w:p w:rsidR="00B81DA7" w:rsidRDefault="0048565C" w:rsidP="00CE42B2">
      <w:pPr>
        <w:jc w:val="both"/>
        <w:rPr>
          <w:b/>
          <w:sz w:val="28"/>
          <w:szCs w:val="28"/>
          <w:u w:val="single"/>
        </w:rPr>
      </w:pPr>
      <w:r>
        <w:rPr>
          <w:rFonts w:ascii="Bookman Old Style" w:hAnsi="Bookman Old Style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1308100</wp:posOffset>
                </wp:positionV>
                <wp:extent cx="762000" cy="8978900"/>
                <wp:effectExtent l="0" t="3175" r="0" b="0"/>
                <wp:wrapSquare wrapText="bothSides"/>
                <wp:docPr id="2" name="Text Box 6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9789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N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F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O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S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hAnsi="Cambria"/>
                                <w:iCs/>
                                <w:sz w:val="84"/>
                                <w:szCs w:val="84"/>
                              </w:rPr>
                            </w:pP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M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A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R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I</w:t>
                            </w:r>
                          </w:p>
                          <w:p w:rsidR="002755BC" w:rsidRPr="00756F47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hAnsi="Cambria"/>
                                <w:iCs/>
                                <w:sz w:val="84"/>
                                <w:szCs w:val="84"/>
                              </w:rPr>
                            </w:pPr>
                            <w:r w:rsidRPr="00756F47">
                              <w:rPr>
                                <w:rFonts w:ascii="Broadway" w:hAnsi="Broadway"/>
                                <w:iCs/>
                                <w:sz w:val="84"/>
                                <w:szCs w:val="84"/>
                              </w:rPr>
                              <w:t>E</w:t>
                            </w:r>
                          </w:p>
                          <w:p w:rsidR="002755BC" w:rsidRDefault="002755BC" w:rsidP="00756F47">
                            <w:pPr>
                              <w:pBdr>
                                <w:top w:val="thinThickSmallGap" w:sz="36" w:space="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hAnsi="Cambria"/>
                                <w:i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Narrow horizontal" style="position:absolute;left:0;text-align:left;margin-left:13.5pt;margin-top:103pt;width:60pt;height:7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" o:allowincell="f" fillcolor="#e6eed5" stroked="f" strokecolor="#622423" strokeweight="6pt">
                <v:fill r:id="rId9" o:title="" type="pattern"/>
                <v:stroke linestyle="thickThin"/>
                <v:textbox inset="18pt,18pt,18pt,18pt">
                  <w:txbxContent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I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N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F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O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S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hAnsi="Cambria"/>
                          <w:iCs/>
                          <w:sz w:val="84"/>
                          <w:szCs w:val="84"/>
                        </w:rPr>
                      </w:pP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M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A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I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R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I</w:t>
                      </w:r>
                    </w:p>
                    <w:p w:rsidR="002755BC" w:rsidRPr="00756F47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hAnsi="Cambria"/>
                          <w:iCs/>
                          <w:sz w:val="84"/>
                          <w:szCs w:val="84"/>
                        </w:rPr>
                      </w:pPr>
                      <w:r w:rsidRPr="00756F47">
                        <w:rPr>
                          <w:rFonts w:ascii="Broadway" w:hAnsi="Broadway"/>
                          <w:iCs/>
                          <w:sz w:val="84"/>
                          <w:szCs w:val="84"/>
                        </w:rPr>
                        <w:t>E</w:t>
                      </w:r>
                    </w:p>
                    <w:p w:rsidR="002755BC" w:rsidRDefault="002755BC" w:rsidP="00756F47">
                      <w:pPr>
                        <w:pBdr>
                          <w:top w:val="thinThickSmallGap" w:sz="36" w:space="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hAnsi="Cambria"/>
                          <w:iCs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71B0">
        <w:rPr>
          <w:b/>
          <w:sz w:val="28"/>
          <w:szCs w:val="28"/>
          <w:u w:val="single"/>
        </w:rPr>
        <w:t>1</w:t>
      </w:r>
      <w:r w:rsidR="004E5E30">
        <w:rPr>
          <w:b/>
          <w:sz w:val="28"/>
          <w:szCs w:val="28"/>
          <w:u w:val="single"/>
        </w:rPr>
        <w:t>)</w:t>
      </w:r>
      <w:r w:rsidR="006C70F8">
        <w:rPr>
          <w:b/>
          <w:sz w:val="28"/>
          <w:szCs w:val="28"/>
          <w:u w:val="single"/>
        </w:rPr>
        <w:t xml:space="preserve"> </w:t>
      </w:r>
      <w:r w:rsidR="009963DE" w:rsidRPr="00E95D44">
        <w:rPr>
          <w:b/>
          <w:sz w:val="28"/>
          <w:szCs w:val="28"/>
          <w:u w:val="single"/>
        </w:rPr>
        <w:t xml:space="preserve">Approbation du compte-rendu du </w:t>
      </w:r>
      <w:r w:rsidR="00AF120E">
        <w:rPr>
          <w:b/>
          <w:sz w:val="28"/>
          <w:szCs w:val="28"/>
          <w:u w:val="single"/>
        </w:rPr>
        <w:t>17.05</w:t>
      </w:r>
      <w:r w:rsidR="00E052F9">
        <w:rPr>
          <w:b/>
          <w:sz w:val="28"/>
          <w:szCs w:val="28"/>
          <w:u w:val="single"/>
        </w:rPr>
        <w:t>.2017</w:t>
      </w:r>
    </w:p>
    <w:p w:rsidR="007C44D8" w:rsidRPr="00B81DA7" w:rsidRDefault="00B81DA7" w:rsidP="00CE42B2">
      <w:pPr>
        <w:jc w:val="both"/>
        <w:rPr>
          <w:b/>
          <w:sz w:val="28"/>
          <w:szCs w:val="28"/>
          <w:u w:val="single"/>
        </w:rPr>
      </w:pPr>
      <w:r>
        <w:t>L</w:t>
      </w:r>
      <w:r w:rsidR="00D249F1">
        <w:t>e compte-rendu est adopté à l’unanimité.</w:t>
      </w:r>
    </w:p>
    <w:p w:rsidR="009963DE" w:rsidRPr="00E07061" w:rsidRDefault="009963DE" w:rsidP="00CE42B2">
      <w:pPr>
        <w:jc w:val="both"/>
        <w:rPr>
          <w:sz w:val="28"/>
          <w:szCs w:val="28"/>
        </w:rPr>
      </w:pPr>
    </w:p>
    <w:p w:rsidR="003D2001" w:rsidRDefault="004E5E30" w:rsidP="00AF120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E95D44">
        <w:rPr>
          <w:b/>
          <w:sz w:val="28"/>
          <w:szCs w:val="28"/>
          <w:u w:val="single"/>
        </w:rPr>
        <w:t xml:space="preserve">) </w:t>
      </w:r>
      <w:r w:rsidR="00AF120E">
        <w:rPr>
          <w:b/>
          <w:sz w:val="28"/>
          <w:szCs w:val="28"/>
          <w:u w:val="single"/>
        </w:rPr>
        <w:t>Budget assainissement : durée d’amortissement</w:t>
      </w:r>
    </w:p>
    <w:p w:rsidR="00AF120E" w:rsidRDefault="00AF120E" w:rsidP="00AF120E">
      <w:pPr>
        <w:jc w:val="both"/>
      </w:pPr>
      <w:r>
        <w:t>Suite à la dissolution de la Communauté de communes de la Vallée du Rupt au 31.12.2016, la commune a repris la compétence assainissement au 01.01.2017 et a élaboré un budget qui reprend toutes les charges et recettes y afférant.</w:t>
      </w:r>
    </w:p>
    <w:p w:rsidR="00AF120E" w:rsidRDefault="00AF120E" w:rsidP="00AF120E">
      <w:pPr>
        <w:jc w:val="both"/>
      </w:pPr>
      <w:r>
        <w:t xml:space="preserve">La loi oblige à amortir les dépenses relatives aux réseaux ainsi que les subventions reçues. Le Conseil doit se prononcer sur la durée de ces amortissements. Suite à la consultation de notre comptable, Mr le Maire propose une durée de 60 ans. </w:t>
      </w:r>
    </w:p>
    <w:p w:rsidR="00AF120E" w:rsidRPr="00AF120E" w:rsidRDefault="00AF120E" w:rsidP="00AF120E">
      <w:pPr>
        <w:jc w:val="both"/>
      </w:pPr>
      <w:r>
        <w:t>Après délibération, le Conseil, à l’unanimité valide cette durée.</w:t>
      </w:r>
    </w:p>
    <w:p w:rsidR="00076FDE" w:rsidRDefault="00076FDE" w:rsidP="00CE42B2">
      <w:pPr>
        <w:jc w:val="both"/>
      </w:pPr>
    </w:p>
    <w:p w:rsidR="00797625" w:rsidRDefault="00797625" w:rsidP="00CE42B2">
      <w:pPr>
        <w:jc w:val="both"/>
        <w:rPr>
          <w:b/>
          <w:sz w:val="28"/>
          <w:szCs w:val="28"/>
          <w:u w:val="single"/>
        </w:rPr>
      </w:pPr>
      <w:r w:rsidRPr="00797625">
        <w:rPr>
          <w:b/>
          <w:sz w:val="28"/>
          <w:szCs w:val="28"/>
          <w:u w:val="single"/>
        </w:rPr>
        <w:t xml:space="preserve">3) </w:t>
      </w:r>
      <w:r w:rsidR="00AF120E">
        <w:rPr>
          <w:b/>
          <w:sz w:val="28"/>
          <w:szCs w:val="28"/>
          <w:u w:val="single"/>
        </w:rPr>
        <w:t>Indemnité d’Administration et de Technicité</w:t>
      </w:r>
    </w:p>
    <w:p w:rsidR="00C22014" w:rsidRDefault="00AF120E" w:rsidP="00CE42B2">
      <w:pPr>
        <w:jc w:val="both"/>
      </w:pPr>
      <w:r>
        <w:t xml:space="preserve">Le personnel communal (agent technique et secrétaire) bénéficie d’une indemnité d’administration et de Technicité (IAT). Celle-ci </w:t>
      </w:r>
      <w:r w:rsidR="003552EB">
        <w:t>était constituée jusqu’à maintenant d’un montant fixe par mois. La loi impose désormais l’indexation de cette prime sur la valeur du point d’indice applicable à</w:t>
      </w:r>
      <w:r w:rsidR="00371FB5">
        <w:t xml:space="preserve"> la</w:t>
      </w:r>
      <w:r w:rsidR="003552EB">
        <w:t xml:space="preserve"> fonction publique. </w:t>
      </w:r>
      <w:r w:rsidR="006C0E31">
        <w:t>Au 1</w:t>
      </w:r>
      <w:r w:rsidR="006C0E31" w:rsidRPr="006C0E31">
        <w:rPr>
          <w:vertAlign w:val="superscript"/>
        </w:rPr>
        <w:t>er</w:t>
      </w:r>
      <w:r w:rsidR="006C0E31">
        <w:t>.07.2016</w:t>
      </w:r>
      <w:r w:rsidR="003552EB">
        <w:t>, une première augmentation de 0.6% a eu lieu suivie d’une seconde au 01.02.2017 également de 0.6%. Il précise que le montant approximatif  de cette régularisation pour les 2 agents se situe aux alentours de 10 €.</w:t>
      </w:r>
    </w:p>
    <w:p w:rsidR="003552EB" w:rsidRPr="00C22014" w:rsidRDefault="003552EB" w:rsidP="00CE42B2">
      <w:pPr>
        <w:jc w:val="both"/>
      </w:pPr>
      <w:r>
        <w:t>Unanimité du Conseil.</w:t>
      </w:r>
    </w:p>
    <w:p w:rsidR="00076FDE" w:rsidRDefault="00076FDE" w:rsidP="00CE42B2">
      <w:pPr>
        <w:jc w:val="both"/>
      </w:pPr>
    </w:p>
    <w:p w:rsidR="00CC031D" w:rsidRDefault="00CC031D" w:rsidP="00CE42B2">
      <w:pPr>
        <w:jc w:val="both"/>
        <w:rPr>
          <w:b/>
          <w:sz w:val="28"/>
          <w:szCs w:val="28"/>
          <w:u w:val="single"/>
        </w:rPr>
      </w:pPr>
      <w:r w:rsidRPr="00CC031D">
        <w:rPr>
          <w:b/>
          <w:sz w:val="28"/>
          <w:szCs w:val="28"/>
          <w:u w:val="single"/>
        </w:rPr>
        <w:t xml:space="preserve">4) </w:t>
      </w:r>
      <w:r w:rsidR="003552EB">
        <w:rPr>
          <w:b/>
          <w:sz w:val="28"/>
          <w:szCs w:val="28"/>
          <w:u w:val="single"/>
        </w:rPr>
        <w:t>Validation marché de travaux réseau eaux pluviales La Prairière II</w:t>
      </w:r>
    </w:p>
    <w:p w:rsidR="003552EB" w:rsidRDefault="003552EB" w:rsidP="003552EB">
      <w:pPr>
        <w:jc w:val="both"/>
      </w:pPr>
      <w:r>
        <w:t>Suite aux évènements climatiques de l’été passé, le Conseil a décidé d’améliorer le réseau d’eaux pluviales sur le lotissement La Prairière II de manière à minimiser les dégâts occasionnés si de tels phénomènes venaient à se reproduire. Ces travaux consistent en la mise</w:t>
      </w:r>
      <w:r w:rsidR="00AF5DB3">
        <w:t xml:space="preserve"> en place</w:t>
      </w:r>
      <w:r>
        <w:t xml:space="preserve"> de tuyaux d’un diamètre supérieur</w:t>
      </w:r>
      <w:r w:rsidR="00A01C83">
        <w:t xml:space="preserve"> </w:t>
      </w:r>
      <w:bookmarkStart w:id="0" w:name="_GoBack"/>
      <w:bookmarkEnd w:id="0"/>
      <w:r w:rsidR="00371FB5">
        <w:t>(diamètre 600)</w:t>
      </w:r>
      <w:r>
        <w:t>.</w:t>
      </w:r>
    </w:p>
    <w:p w:rsidR="003552EB" w:rsidRDefault="003552EB" w:rsidP="003552EB">
      <w:pPr>
        <w:jc w:val="both"/>
      </w:pPr>
      <w:r>
        <w:t>Suite à l’appel d’</w:t>
      </w:r>
      <w:r w:rsidR="00AF5DB3">
        <w:t>offres lancé</w:t>
      </w:r>
      <w:r>
        <w:t xml:space="preserve"> par le cabinet Delplanque (maître d’œuvre)</w:t>
      </w:r>
      <w:r w:rsidR="00AF5DB3">
        <w:t>, 3 entreprises ont répondu. Ces différentes offres ont été analysées par la commission d’appel d’offres. Après examen, le Conseil décide, à l’unanimité, de retenir l’entreprise EUROVIA, moins disante, pour un montant de 20 049€HT.</w:t>
      </w:r>
    </w:p>
    <w:p w:rsidR="00AF5DB3" w:rsidRDefault="00AF5DB3" w:rsidP="003552EB">
      <w:pPr>
        <w:jc w:val="both"/>
      </w:pPr>
      <w:r>
        <w:t>Monsieur le Maire précise que ces travaux seront réalisés avant les travaux de finition du lotissement.</w:t>
      </w:r>
    </w:p>
    <w:p w:rsidR="003552EB" w:rsidRDefault="003552EB" w:rsidP="003552EB">
      <w:pPr>
        <w:pStyle w:val="Paragraphedeliste"/>
        <w:jc w:val="both"/>
      </w:pPr>
    </w:p>
    <w:p w:rsidR="00CC031D" w:rsidRDefault="00CC031D" w:rsidP="00CE42B2">
      <w:pPr>
        <w:jc w:val="both"/>
        <w:rPr>
          <w:b/>
          <w:sz w:val="28"/>
          <w:szCs w:val="28"/>
          <w:u w:val="single"/>
        </w:rPr>
      </w:pPr>
      <w:r w:rsidRPr="00CC031D">
        <w:rPr>
          <w:b/>
          <w:sz w:val="28"/>
          <w:szCs w:val="28"/>
          <w:u w:val="single"/>
        </w:rPr>
        <w:t xml:space="preserve">5) </w:t>
      </w:r>
      <w:r w:rsidR="00AF5DB3">
        <w:rPr>
          <w:b/>
          <w:sz w:val="28"/>
          <w:szCs w:val="28"/>
          <w:u w:val="single"/>
        </w:rPr>
        <w:t>Syndicat des eaux de Champagney</w:t>
      </w:r>
    </w:p>
    <w:p w:rsidR="00BF5F9F" w:rsidRDefault="00AF5DB3" w:rsidP="00CE42B2">
      <w:pPr>
        <w:jc w:val="both"/>
      </w:pPr>
      <w:r>
        <w:t>Dans le cadre de la protection des zones de</w:t>
      </w:r>
      <w:r w:rsidR="006C0E31">
        <w:t xml:space="preserve"> captage</w:t>
      </w:r>
      <w:r>
        <w:t xml:space="preserve"> et afin de se mettre en conformité avec la législation en vigueur, le Syndicat d’alimentation en eau potable (SIAEP) doit procéder à des travaux d’un montant de 27 000€HT. Pour cela, une enquête publique est obligatoire. Le commissaire enquêteur recevra en personne les observations du public en mairie de Plancher</w:t>
      </w:r>
      <w:r w:rsidR="00281BBD">
        <w:t>-</w:t>
      </w:r>
      <w:r>
        <w:t xml:space="preserve">Bas les 7 juin de 10h à 12h et 8 juillet de 9h à 12h </w:t>
      </w:r>
      <w:r w:rsidR="00DE1E3E">
        <w:t>et en mairie de Plancher-les-Mines les 16 juin de 15h à 17h et 29 juin de 15h à 17 (avis d’enquête publique affiché en mairie de Laire).</w:t>
      </w:r>
    </w:p>
    <w:p w:rsidR="00DE1E3E" w:rsidRDefault="00DE1E3E" w:rsidP="00CE42B2">
      <w:pPr>
        <w:jc w:val="both"/>
      </w:pPr>
      <w:r>
        <w:t>Le Conseil, à l’unanimité, donne un avis favorable pour mener à bien toutes les opérations visant à prélever de l’eau dan</w:t>
      </w:r>
      <w:r w:rsidR="00371FB5">
        <w:t>s le milieu naturel et permettant</w:t>
      </w:r>
      <w:r>
        <w:t xml:space="preserve"> de distribuer de l’eau en vue de la consommation humaine.</w:t>
      </w:r>
    </w:p>
    <w:p w:rsidR="00076FDE" w:rsidRDefault="00076FDE" w:rsidP="00CE42B2">
      <w:pPr>
        <w:jc w:val="both"/>
      </w:pPr>
    </w:p>
    <w:p w:rsidR="00BF5F9F" w:rsidRDefault="00BF5F9F" w:rsidP="00CE42B2">
      <w:pPr>
        <w:jc w:val="both"/>
        <w:rPr>
          <w:b/>
          <w:sz w:val="28"/>
          <w:szCs w:val="28"/>
          <w:u w:val="single"/>
        </w:rPr>
      </w:pPr>
      <w:r w:rsidRPr="00BF5F9F">
        <w:rPr>
          <w:b/>
          <w:sz w:val="28"/>
          <w:szCs w:val="28"/>
          <w:u w:val="single"/>
        </w:rPr>
        <w:t xml:space="preserve">6) </w:t>
      </w:r>
      <w:r w:rsidR="00DE1E3E">
        <w:rPr>
          <w:b/>
          <w:sz w:val="28"/>
          <w:szCs w:val="28"/>
          <w:u w:val="single"/>
        </w:rPr>
        <w:t>Infos et questions diverses</w:t>
      </w:r>
    </w:p>
    <w:p w:rsidR="00371FB5" w:rsidRDefault="00371FB5" w:rsidP="00CE42B2">
      <w:pPr>
        <w:jc w:val="both"/>
        <w:rPr>
          <w:b/>
          <w:sz w:val="28"/>
          <w:szCs w:val="28"/>
          <w:u w:val="single"/>
        </w:rPr>
      </w:pPr>
    </w:p>
    <w:p w:rsidR="00DE1E3E" w:rsidRDefault="00DE1E3E" w:rsidP="00CE42B2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DE1E3E">
        <w:rPr>
          <w:u w:val="single"/>
        </w:rPr>
        <w:t>Accueil des gens du voyage</w:t>
      </w:r>
      <w:r>
        <w:rPr>
          <w:u w:val="single"/>
        </w:rPr>
        <w:t> :</w:t>
      </w:r>
    </w:p>
    <w:p w:rsidR="00371FB5" w:rsidRDefault="00371FB5" w:rsidP="00CE42B2">
      <w:pPr>
        <w:jc w:val="both"/>
        <w:rPr>
          <w:u w:val="single"/>
        </w:rPr>
      </w:pPr>
    </w:p>
    <w:p w:rsidR="00DE1E3E" w:rsidRDefault="00DE1E3E" w:rsidP="00CE42B2">
      <w:pPr>
        <w:jc w:val="both"/>
      </w:pPr>
      <w:r>
        <w:t xml:space="preserve">A la demande du Président de la Communauté de Communes du Pays d’Héricourt, la commune de Laire s’oppose au transfert automatique  des pouvoirs de </w:t>
      </w:r>
      <w:r w:rsidR="00371FB5">
        <w:t xml:space="preserve">police liés à la compétence « aménagement et </w:t>
      </w:r>
      <w:r>
        <w:t xml:space="preserve">entretien des aires d’accueil des gens du voyage ». Un arrêté municipal sera pris prochainement dans </w:t>
      </w:r>
      <w:r w:rsidR="00371FB5">
        <w:t xml:space="preserve"> </w:t>
      </w:r>
      <w:r>
        <w:t>ce sens. Unanimité du Conseil.</w:t>
      </w:r>
    </w:p>
    <w:p w:rsidR="00DE1E3E" w:rsidRDefault="00DE1E3E" w:rsidP="00CE42B2">
      <w:pPr>
        <w:jc w:val="both"/>
      </w:pPr>
    </w:p>
    <w:p w:rsidR="00DE1E3E" w:rsidRDefault="00DE1E3E" w:rsidP="00CE42B2">
      <w:pPr>
        <w:jc w:val="both"/>
      </w:pPr>
    </w:p>
    <w:p w:rsidR="00DE1E3E" w:rsidRDefault="00DE1E3E" w:rsidP="00DE1E3E">
      <w:pPr>
        <w:pStyle w:val="Paragraphedeliste"/>
        <w:numPr>
          <w:ilvl w:val="0"/>
          <w:numId w:val="40"/>
        </w:numPr>
        <w:jc w:val="both"/>
        <w:rPr>
          <w:u w:val="single"/>
        </w:rPr>
      </w:pPr>
      <w:r w:rsidRPr="00DE1E3E">
        <w:rPr>
          <w:u w:val="single"/>
        </w:rPr>
        <w:t>PLUi (Plan Local d’Urbanisme intercommunal)</w:t>
      </w:r>
    </w:p>
    <w:p w:rsidR="00371FB5" w:rsidRDefault="00371FB5" w:rsidP="00371FB5">
      <w:pPr>
        <w:pStyle w:val="Paragraphedeliste"/>
        <w:jc w:val="both"/>
        <w:rPr>
          <w:u w:val="single"/>
        </w:rPr>
      </w:pPr>
    </w:p>
    <w:p w:rsidR="006C0E31" w:rsidRDefault="006C0E31" w:rsidP="006C0E31">
      <w:pPr>
        <w:pStyle w:val="Paragraphedeliste"/>
        <w:jc w:val="both"/>
      </w:pPr>
      <w:r w:rsidRPr="006C0E31">
        <w:t>Ce PLUi a valeur de SCOT</w:t>
      </w:r>
      <w:r>
        <w:t xml:space="preserve"> </w:t>
      </w:r>
      <w:r w:rsidRPr="006C0E31">
        <w:t>(Schéma de Cohérence Territorial)</w:t>
      </w:r>
      <w:r>
        <w:t>. Il est demandé de préciser les objectifs de croissance démographique et de besoins en logements pour la commune, pendant la période 2020 – 2032.</w:t>
      </w:r>
    </w:p>
    <w:p w:rsidR="006C0E31" w:rsidRDefault="00371FB5" w:rsidP="006C0E31">
      <w:pPr>
        <w:pStyle w:val="Paragraphedeliste"/>
        <w:jc w:val="both"/>
      </w:pPr>
      <w:r>
        <w:t>4 scénarios</w:t>
      </w:r>
      <w:r w:rsidR="006C0E31">
        <w:t xml:space="preserve"> sont proposés : 0%, 0.2 %, 0.5 % et 0.7%. Le Conseil se prononce pour 0.2% ce qui correspond à un besoin de 84 logements par an pour Héricourt et 46 par an pour l’ensemble des villages (23).</w:t>
      </w:r>
      <w:r>
        <w:t xml:space="preserve"> </w:t>
      </w:r>
      <w:r w:rsidR="006C0E31">
        <w:t>Un questionnaire a été transmis à la mairie de Laire afin de le renseigner dans les meilleurs délais (10 juin 2017).</w:t>
      </w:r>
    </w:p>
    <w:p w:rsidR="006C0E31" w:rsidRDefault="006C0E31" w:rsidP="006C0E31">
      <w:pPr>
        <w:pStyle w:val="Paragraphedeliste"/>
        <w:jc w:val="both"/>
      </w:pPr>
      <w:r>
        <w:t>Concernant les objectifs de diversification du parc de logements, le choix de la commune se porte sur le développement des logements basse consommation tout en préservant un équilibre générationnel.</w:t>
      </w:r>
    </w:p>
    <w:p w:rsidR="006C0E31" w:rsidRPr="006C0E31" w:rsidRDefault="006C0E31" w:rsidP="006C0E31">
      <w:pPr>
        <w:pStyle w:val="Paragraphedeliste"/>
        <w:jc w:val="both"/>
      </w:pPr>
    </w:p>
    <w:sectPr w:rsidR="006C0E31" w:rsidRPr="006C0E31" w:rsidSect="0073779F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E63" w:rsidRDefault="00653E63" w:rsidP="00771D61">
      <w:r>
        <w:separator/>
      </w:r>
    </w:p>
  </w:endnote>
  <w:endnote w:type="continuationSeparator" w:id="0">
    <w:p w:rsidR="00653E63" w:rsidRDefault="00653E63" w:rsidP="0077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E63" w:rsidRDefault="00653E63" w:rsidP="00771D61">
      <w:r>
        <w:separator/>
      </w:r>
    </w:p>
  </w:footnote>
  <w:footnote w:type="continuationSeparator" w:id="0">
    <w:p w:rsidR="00653E63" w:rsidRDefault="00653E63" w:rsidP="0077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178"/>
    <w:multiLevelType w:val="hybridMultilevel"/>
    <w:tmpl w:val="2526768E"/>
    <w:lvl w:ilvl="0" w:tplc="9DF094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7216"/>
    <w:multiLevelType w:val="hybridMultilevel"/>
    <w:tmpl w:val="9A3438A2"/>
    <w:lvl w:ilvl="0" w:tplc="4EC2E17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D2A84"/>
    <w:multiLevelType w:val="hybridMultilevel"/>
    <w:tmpl w:val="3308244C"/>
    <w:lvl w:ilvl="0" w:tplc="ED4C26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44E6"/>
    <w:multiLevelType w:val="hybridMultilevel"/>
    <w:tmpl w:val="3E5E2FF8"/>
    <w:lvl w:ilvl="0" w:tplc="0F1E4EC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542D9"/>
    <w:multiLevelType w:val="hybridMultilevel"/>
    <w:tmpl w:val="E06C30A8"/>
    <w:lvl w:ilvl="0" w:tplc="1C0C59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3F7D"/>
    <w:multiLevelType w:val="hybridMultilevel"/>
    <w:tmpl w:val="DCD45B74"/>
    <w:lvl w:ilvl="0" w:tplc="ECBED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36D09"/>
    <w:multiLevelType w:val="hybridMultilevel"/>
    <w:tmpl w:val="156E96E2"/>
    <w:lvl w:ilvl="0" w:tplc="463250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D5521"/>
    <w:multiLevelType w:val="hybridMultilevel"/>
    <w:tmpl w:val="638E98FA"/>
    <w:lvl w:ilvl="0" w:tplc="810AF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0942"/>
    <w:multiLevelType w:val="hybridMultilevel"/>
    <w:tmpl w:val="21A071F2"/>
    <w:lvl w:ilvl="0" w:tplc="84C2A5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22FE"/>
    <w:multiLevelType w:val="hybridMultilevel"/>
    <w:tmpl w:val="CE68E0A6"/>
    <w:lvl w:ilvl="0" w:tplc="D19034E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2332A7"/>
    <w:multiLevelType w:val="hybridMultilevel"/>
    <w:tmpl w:val="EB50F796"/>
    <w:lvl w:ilvl="0" w:tplc="EB0E2E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E74E8"/>
    <w:multiLevelType w:val="hybridMultilevel"/>
    <w:tmpl w:val="DB5ABAF2"/>
    <w:lvl w:ilvl="0" w:tplc="3E2816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57930"/>
    <w:multiLevelType w:val="hybridMultilevel"/>
    <w:tmpl w:val="F9328BC0"/>
    <w:lvl w:ilvl="0" w:tplc="0A1088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C034D"/>
    <w:multiLevelType w:val="hybridMultilevel"/>
    <w:tmpl w:val="72242B58"/>
    <w:lvl w:ilvl="0" w:tplc="FF8887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42BC3"/>
    <w:multiLevelType w:val="hybridMultilevel"/>
    <w:tmpl w:val="245076D8"/>
    <w:lvl w:ilvl="0" w:tplc="F0B860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F319B"/>
    <w:multiLevelType w:val="hybridMultilevel"/>
    <w:tmpl w:val="104A2DD2"/>
    <w:lvl w:ilvl="0" w:tplc="67EC2F18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B2339"/>
    <w:multiLevelType w:val="hybridMultilevel"/>
    <w:tmpl w:val="09346AF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B2161"/>
    <w:multiLevelType w:val="hybridMultilevel"/>
    <w:tmpl w:val="B9B84D82"/>
    <w:lvl w:ilvl="0" w:tplc="991A27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3EE5"/>
    <w:multiLevelType w:val="hybridMultilevel"/>
    <w:tmpl w:val="C2AA9EFE"/>
    <w:lvl w:ilvl="0" w:tplc="7ED64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18E7"/>
    <w:multiLevelType w:val="hybridMultilevel"/>
    <w:tmpl w:val="34841CBE"/>
    <w:lvl w:ilvl="0" w:tplc="65249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C339F"/>
    <w:multiLevelType w:val="hybridMultilevel"/>
    <w:tmpl w:val="B428DC34"/>
    <w:lvl w:ilvl="0" w:tplc="BEB49E8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CB7451"/>
    <w:multiLevelType w:val="hybridMultilevel"/>
    <w:tmpl w:val="9794A5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3541A"/>
    <w:multiLevelType w:val="hybridMultilevel"/>
    <w:tmpl w:val="DD8842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77978"/>
    <w:multiLevelType w:val="hybridMultilevel"/>
    <w:tmpl w:val="60B21222"/>
    <w:lvl w:ilvl="0" w:tplc="76287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18A"/>
    <w:multiLevelType w:val="hybridMultilevel"/>
    <w:tmpl w:val="CE4A68AE"/>
    <w:lvl w:ilvl="0" w:tplc="E53E05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A28A9"/>
    <w:multiLevelType w:val="hybridMultilevel"/>
    <w:tmpl w:val="90302086"/>
    <w:lvl w:ilvl="0" w:tplc="C71AD9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2326A"/>
    <w:multiLevelType w:val="hybridMultilevel"/>
    <w:tmpl w:val="37809056"/>
    <w:lvl w:ilvl="0" w:tplc="197274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6F5C"/>
    <w:multiLevelType w:val="hybridMultilevel"/>
    <w:tmpl w:val="B43016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720B8"/>
    <w:multiLevelType w:val="hybridMultilevel"/>
    <w:tmpl w:val="ADA63D26"/>
    <w:lvl w:ilvl="0" w:tplc="D6F4C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20D97"/>
    <w:multiLevelType w:val="hybridMultilevel"/>
    <w:tmpl w:val="E42856BE"/>
    <w:lvl w:ilvl="0" w:tplc="ECC4C9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75E16"/>
    <w:multiLevelType w:val="hybridMultilevel"/>
    <w:tmpl w:val="BF989EC2"/>
    <w:lvl w:ilvl="0" w:tplc="2886EF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6FFB"/>
    <w:multiLevelType w:val="hybridMultilevel"/>
    <w:tmpl w:val="C36A3E6E"/>
    <w:lvl w:ilvl="0" w:tplc="AAAC1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6254D"/>
    <w:multiLevelType w:val="hybridMultilevel"/>
    <w:tmpl w:val="BFD4AA8C"/>
    <w:lvl w:ilvl="0" w:tplc="3D94B2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8327C"/>
    <w:multiLevelType w:val="hybridMultilevel"/>
    <w:tmpl w:val="DDA23644"/>
    <w:lvl w:ilvl="0" w:tplc="C39E17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B616B"/>
    <w:multiLevelType w:val="hybridMultilevel"/>
    <w:tmpl w:val="460CC48C"/>
    <w:lvl w:ilvl="0" w:tplc="EABE37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27FC6"/>
    <w:multiLevelType w:val="hybridMultilevel"/>
    <w:tmpl w:val="00D07CB0"/>
    <w:lvl w:ilvl="0" w:tplc="0D14F6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A1E96"/>
    <w:multiLevelType w:val="hybridMultilevel"/>
    <w:tmpl w:val="A522B0BC"/>
    <w:lvl w:ilvl="0" w:tplc="33046E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47014"/>
    <w:multiLevelType w:val="hybridMultilevel"/>
    <w:tmpl w:val="124C6F74"/>
    <w:lvl w:ilvl="0" w:tplc="04940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4"/>
    <w:multiLevelType w:val="hybridMultilevel"/>
    <w:tmpl w:val="3224ECCC"/>
    <w:lvl w:ilvl="0" w:tplc="A9EA1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42651"/>
    <w:multiLevelType w:val="hybridMultilevel"/>
    <w:tmpl w:val="F134FE5A"/>
    <w:lvl w:ilvl="0" w:tplc="336C0408">
      <w:start w:val="3"/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4"/>
  </w:num>
  <w:num w:numId="7">
    <w:abstractNumId w:val="30"/>
  </w:num>
  <w:num w:numId="8">
    <w:abstractNumId w:val="16"/>
  </w:num>
  <w:num w:numId="9">
    <w:abstractNumId w:val="6"/>
  </w:num>
  <w:num w:numId="10">
    <w:abstractNumId w:val="2"/>
  </w:num>
  <w:num w:numId="11">
    <w:abstractNumId w:val="9"/>
  </w:num>
  <w:num w:numId="12">
    <w:abstractNumId w:val="37"/>
  </w:num>
  <w:num w:numId="13">
    <w:abstractNumId w:val="23"/>
  </w:num>
  <w:num w:numId="14">
    <w:abstractNumId w:val="27"/>
  </w:num>
  <w:num w:numId="15">
    <w:abstractNumId w:val="11"/>
  </w:num>
  <w:num w:numId="16">
    <w:abstractNumId w:val="20"/>
  </w:num>
  <w:num w:numId="17">
    <w:abstractNumId w:val="1"/>
  </w:num>
  <w:num w:numId="18">
    <w:abstractNumId w:val="21"/>
  </w:num>
  <w:num w:numId="19">
    <w:abstractNumId w:val="28"/>
  </w:num>
  <w:num w:numId="20">
    <w:abstractNumId w:val="5"/>
  </w:num>
  <w:num w:numId="21">
    <w:abstractNumId w:val="34"/>
  </w:num>
  <w:num w:numId="22">
    <w:abstractNumId w:val="39"/>
  </w:num>
  <w:num w:numId="23">
    <w:abstractNumId w:val="12"/>
  </w:num>
  <w:num w:numId="24">
    <w:abstractNumId w:val="17"/>
  </w:num>
  <w:num w:numId="25">
    <w:abstractNumId w:val="26"/>
  </w:num>
  <w:num w:numId="26">
    <w:abstractNumId w:val="8"/>
  </w:num>
  <w:num w:numId="27">
    <w:abstractNumId w:val="35"/>
  </w:num>
  <w:num w:numId="28">
    <w:abstractNumId w:val="7"/>
  </w:num>
  <w:num w:numId="29">
    <w:abstractNumId w:val="31"/>
  </w:num>
  <w:num w:numId="30">
    <w:abstractNumId w:val="29"/>
  </w:num>
  <w:num w:numId="31">
    <w:abstractNumId w:val="3"/>
  </w:num>
  <w:num w:numId="32">
    <w:abstractNumId w:val="0"/>
  </w:num>
  <w:num w:numId="33">
    <w:abstractNumId w:val="36"/>
  </w:num>
  <w:num w:numId="34">
    <w:abstractNumId w:val="33"/>
  </w:num>
  <w:num w:numId="35">
    <w:abstractNumId w:val="14"/>
  </w:num>
  <w:num w:numId="36">
    <w:abstractNumId w:val="13"/>
  </w:num>
  <w:num w:numId="37">
    <w:abstractNumId w:val="32"/>
  </w:num>
  <w:num w:numId="38">
    <w:abstractNumId w:val="19"/>
  </w:num>
  <w:num w:numId="39">
    <w:abstractNumId w:val="2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6"/>
    <w:rsid w:val="000018C8"/>
    <w:rsid w:val="000025D9"/>
    <w:rsid w:val="00007562"/>
    <w:rsid w:val="000114A0"/>
    <w:rsid w:val="00013CE8"/>
    <w:rsid w:val="00021AEB"/>
    <w:rsid w:val="00021E17"/>
    <w:rsid w:val="00022F00"/>
    <w:rsid w:val="000235AE"/>
    <w:rsid w:val="00024834"/>
    <w:rsid w:val="00027E98"/>
    <w:rsid w:val="00041B6F"/>
    <w:rsid w:val="000432E0"/>
    <w:rsid w:val="000524AA"/>
    <w:rsid w:val="00054203"/>
    <w:rsid w:val="000550E4"/>
    <w:rsid w:val="00062ED5"/>
    <w:rsid w:val="00076C3D"/>
    <w:rsid w:val="00076FDE"/>
    <w:rsid w:val="00077A40"/>
    <w:rsid w:val="0009546C"/>
    <w:rsid w:val="000A586D"/>
    <w:rsid w:val="000B19EB"/>
    <w:rsid w:val="000B35D4"/>
    <w:rsid w:val="000B53A7"/>
    <w:rsid w:val="000B60EA"/>
    <w:rsid w:val="000C051A"/>
    <w:rsid w:val="000D3530"/>
    <w:rsid w:val="000D4F3A"/>
    <w:rsid w:val="000D60C7"/>
    <w:rsid w:val="000E0F36"/>
    <w:rsid w:val="000F6D9B"/>
    <w:rsid w:val="0013459B"/>
    <w:rsid w:val="00140CC4"/>
    <w:rsid w:val="0014146D"/>
    <w:rsid w:val="0014313C"/>
    <w:rsid w:val="00146280"/>
    <w:rsid w:val="00147E4C"/>
    <w:rsid w:val="00152CC9"/>
    <w:rsid w:val="0015511F"/>
    <w:rsid w:val="001565BC"/>
    <w:rsid w:val="00157389"/>
    <w:rsid w:val="001745DE"/>
    <w:rsid w:val="00174836"/>
    <w:rsid w:val="0018173B"/>
    <w:rsid w:val="00185F08"/>
    <w:rsid w:val="00187AF3"/>
    <w:rsid w:val="0019035A"/>
    <w:rsid w:val="00196594"/>
    <w:rsid w:val="00196C7F"/>
    <w:rsid w:val="001A40B5"/>
    <w:rsid w:val="001A457D"/>
    <w:rsid w:val="001B231F"/>
    <w:rsid w:val="001E0DF1"/>
    <w:rsid w:val="001F4AE3"/>
    <w:rsid w:val="0020201A"/>
    <w:rsid w:val="00203A87"/>
    <w:rsid w:val="00213DE8"/>
    <w:rsid w:val="00214AAA"/>
    <w:rsid w:val="002235CC"/>
    <w:rsid w:val="0023561A"/>
    <w:rsid w:val="00242C3A"/>
    <w:rsid w:val="002433FF"/>
    <w:rsid w:val="0024732E"/>
    <w:rsid w:val="00255BB3"/>
    <w:rsid w:val="00255E21"/>
    <w:rsid w:val="00262191"/>
    <w:rsid w:val="00267054"/>
    <w:rsid w:val="0027500E"/>
    <w:rsid w:val="002755BC"/>
    <w:rsid w:val="00277207"/>
    <w:rsid w:val="00281BBD"/>
    <w:rsid w:val="002837C6"/>
    <w:rsid w:val="00284178"/>
    <w:rsid w:val="002841E2"/>
    <w:rsid w:val="002870F3"/>
    <w:rsid w:val="00290F46"/>
    <w:rsid w:val="00297E88"/>
    <w:rsid w:val="002A6F0A"/>
    <w:rsid w:val="002B2B26"/>
    <w:rsid w:val="002D4C0C"/>
    <w:rsid w:val="002E3EDA"/>
    <w:rsid w:val="002E7111"/>
    <w:rsid w:val="002F230C"/>
    <w:rsid w:val="002F57E8"/>
    <w:rsid w:val="002F68D2"/>
    <w:rsid w:val="002F7A73"/>
    <w:rsid w:val="003000A5"/>
    <w:rsid w:val="00300E19"/>
    <w:rsid w:val="0030602F"/>
    <w:rsid w:val="00306A2A"/>
    <w:rsid w:val="00312CEA"/>
    <w:rsid w:val="00315808"/>
    <w:rsid w:val="003167BF"/>
    <w:rsid w:val="00320D41"/>
    <w:rsid w:val="00333AAA"/>
    <w:rsid w:val="00333B5F"/>
    <w:rsid w:val="00343EE7"/>
    <w:rsid w:val="00345607"/>
    <w:rsid w:val="00345D5E"/>
    <w:rsid w:val="00347768"/>
    <w:rsid w:val="00353D86"/>
    <w:rsid w:val="003552EB"/>
    <w:rsid w:val="00356423"/>
    <w:rsid w:val="003656DD"/>
    <w:rsid w:val="00370369"/>
    <w:rsid w:val="00371FB5"/>
    <w:rsid w:val="00372B50"/>
    <w:rsid w:val="00373B6A"/>
    <w:rsid w:val="00375269"/>
    <w:rsid w:val="003800B5"/>
    <w:rsid w:val="00381196"/>
    <w:rsid w:val="003818C0"/>
    <w:rsid w:val="00387878"/>
    <w:rsid w:val="00391E39"/>
    <w:rsid w:val="00393BB0"/>
    <w:rsid w:val="003B0D20"/>
    <w:rsid w:val="003C1E56"/>
    <w:rsid w:val="003D0203"/>
    <w:rsid w:val="003D2001"/>
    <w:rsid w:val="003D42CF"/>
    <w:rsid w:val="003E0D3E"/>
    <w:rsid w:val="003F268A"/>
    <w:rsid w:val="003F428C"/>
    <w:rsid w:val="003F611B"/>
    <w:rsid w:val="0040623D"/>
    <w:rsid w:val="004100D5"/>
    <w:rsid w:val="004135C5"/>
    <w:rsid w:val="00415ABF"/>
    <w:rsid w:val="00421C45"/>
    <w:rsid w:val="00424336"/>
    <w:rsid w:val="004277E9"/>
    <w:rsid w:val="004337FB"/>
    <w:rsid w:val="00435C87"/>
    <w:rsid w:val="00437BCA"/>
    <w:rsid w:val="00447D7B"/>
    <w:rsid w:val="004514E1"/>
    <w:rsid w:val="00451701"/>
    <w:rsid w:val="0046008C"/>
    <w:rsid w:val="00470259"/>
    <w:rsid w:val="00471313"/>
    <w:rsid w:val="00474BEE"/>
    <w:rsid w:val="004763B5"/>
    <w:rsid w:val="00481C17"/>
    <w:rsid w:val="004848CA"/>
    <w:rsid w:val="0048565C"/>
    <w:rsid w:val="00496BE6"/>
    <w:rsid w:val="004A0876"/>
    <w:rsid w:val="004B1995"/>
    <w:rsid w:val="004C1624"/>
    <w:rsid w:val="004C2E81"/>
    <w:rsid w:val="004C71BD"/>
    <w:rsid w:val="004E5E30"/>
    <w:rsid w:val="00507597"/>
    <w:rsid w:val="005137A7"/>
    <w:rsid w:val="00515654"/>
    <w:rsid w:val="00526931"/>
    <w:rsid w:val="00543025"/>
    <w:rsid w:val="00551021"/>
    <w:rsid w:val="0055623B"/>
    <w:rsid w:val="00560AF3"/>
    <w:rsid w:val="00575E9D"/>
    <w:rsid w:val="00580B0C"/>
    <w:rsid w:val="005875FF"/>
    <w:rsid w:val="00595490"/>
    <w:rsid w:val="005A1B65"/>
    <w:rsid w:val="005C2391"/>
    <w:rsid w:val="005C4EDA"/>
    <w:rsid w:val="005C7D82"/>
    <w:rsid w:val="005D1DD3"/>
    <w:rsid w:val="005E794A"/>
    <w:rsid w:val="005F5E05"/>
    <w:rsid w:val="00601DDE"/>
    <w:rsid w:val="006052A8"/>
    <w:rsid w:val="00614F27"/>
    <w:rsid w:val="00622EF7"/>
    <w:rsid w:val="00631BB1"/>
    <w:rsid w:val="00641B2D"/>
    <w:rsid w:val="00645DB5"/>
    <w:rsid w:val="0064653C"/>
    <w:rsid w:val="00653E63"/>
    <w:rsid w:val="006544A5"/>
    <w:rsid w:val="00656ABF"/>
    <w:rsid w:val="0066219C"/>
    <w:rsid w:val="0066265C"/>
    <w:rsid w:val="006733DB"/>
    <w:rsid w:val="006734BB"/>
    <w:rsid w:val="0068578E"/>
    <w:rsid w:val="00687FE9"/>
    <w:rsid w:val="006915D2"/>
    <w:rsid w:val="00691B21"/>
    <w:rsid w:val="00691F73"/>
    <w:rsid w:val="00694443"/>
    <w:rsid w:val="0069642A"/>
    <w:rsid w:val="006A567A"/>
    <w:rsid w:val="006A5BB2"/>
    <w:rsid w:val="006B2739"/>
    <w:rsid w:val="006B4CBA"/>
    <w:rsid w:val="006C0E31"/>
    <w:rsid w:val="006C70F8"/>
    <w:rsid w:val="006D1DFE"/>
    <w:rsid w:val="006D5DA5"/>
    <w:rsid w:val="006E5443"/>
    <w:rsid w:val="006E6DA8"/>
    <w:rsid w:val="006F012A"/>
    <w:rsid w:val="006F3041"/>
    <w:rsid w:val="0071179B"/>
    <w:rsid w:val="007300FB"/>
    <w:rsid w:val="0073779F"/>
    <w:rsid w:val="00737F2A"/>
    <w:rsid w:val="00740CF9"/>
    <w:rsid w:val="0074103E"/>
    <w:rsid w:val="00745617"/>
    <w:rsid w:val="007456C2"/>
    <w:rsid w:val="00746996"/>
    <w:rsid w:val="007569D9"/>
    <w:rsid w:val="00756F47"/>
    <w:rsid w:val="00763429"/>
    <w:rsid w:val="00766A80"/>
    <w:rsid w:val="00771D61"/>
    <w:rsid w:val="007916F1"/>
    <w:rsid w:val="00797625"/>
    <w:rsid w:val="007A5A95"/>
    <w:rsid w:val="007B1067"/>
    <w:rsid w:val="007B6E3F"/>
    <w:rsid w:val="007C4204"/>
    <w:rsid w:val="007C44D8"/>
    <w:rsid w:val="007C5044"/>
    <w:rsid w:val="007D6297"/>
    <w:rsid w:val="007E49F0"/>
    <w:rsid w:val="007E5A24"/>
    <w:rsid w:val="007F2237"/>
    <w:rsid w:val="00812E97"/>
    <w:rsid w:val="00823404"/>
    <w:rsid w:val="0082619D"/>
    <w:rsid w:val="00826943"/>
    <w:rsid w:val="0083332B"/>
    <w:rsid w:val="008343A8"/>
    <w:rsid w:val="00834D4B"/>
    <w:rsid w:val="00835D62"/>
    <w:rsid w:val="0083666B"/>
    <w:rsid w:val="00853C73"/>
    <w:rsid w:val="00860979"/>
    <w:rsid w:val="00861C16"/>
    <w:rsid w:val="00872C39"/>
    <w:rsid w:val="00873493"/>
    <w:rsid w:val="00875233"/>
    <w:rsid w:val="00875AB9"/>
    <w:rsid w:val="00877E78"/>
    <w:rsid w:val="008A24F0"/>
    <w:rsid w:val="008B1C8A"/>
    <w:rsid w:val="008B49EA"/>
    <w:rsid w:val="008B4A1C"/>
    <w:rsid w:val="008B605D"/>
    <w:rsid w:val="008B6819"/>
    <w:rsid w:val="008B6E3C"/>
    <w:rsid w:val="008C1334"/>
    <w:rsid w:val="008D4B55"/>
    <w:rsid w:val="008F3B7A"/>
    <w:rsid w:val="008F73FD"/>
    <w:rsid w:val="0090003E"/>
    <w:rsid w:val="009276AE"/>
    <w:rsid w:val="00930633"/>
    <w:rsid w:val="009429DF"/>
    <w:rsid w:val="00942FFA"/>
    <w:rsid w:val="00945700"/>
    <w:rsid w:val="009659A1"/>
    <w:rsid w:val="00967525"/>
    <w:rsid w:val="00970827"/>
    <w:rsid w:val="00981138"/>
    <w:rsid w:val="00983CDF"/>
    <w:rsid w:val="00985AFC"/>
    <w:rsid w:val="00993393"/>
    <w:rsid w:val="009949C0"/>
    <w:rsid w:val="009955C6"/>
    <w:rsid w:val="00995FC9"/>
    <w:rsid w:val="009963DE"/>
    <w:rsid w:val="009A218F"/>
    <w:rsid w:val="009A722D"/>
    <w:rsid w:val="009C6242"/>
    <w:rsid w:val="009E1D54"/>
    <w:rsid w:val="009E43D8"/>
    <w:rsid w:val="009E7021"/>
    <w:rsid w:val="009F1D84"/>
    <w:rsid w:val="009F6716"/>
    <w:rsid w:val="009F7FC1"/>
    <w:rsid w:val="00A00564"/>
    <w:rsid w:val="00A01C83"/>
    <w:rsid w:val="00A0599A"/>
    <w:rsid w:val="00A1515F"/>
    <w:rsid w:val="00A21D26"/>
    <w:rsid w:val="00A24B72"/>
    <w:rsid w:val="00A266B9"/>
    <w:rsid w:val="00A2725B"/>
    <w:rsid w:val="00A360CD"/>
    <w:rsid w:val="00A45E8D"/>
    <w:rsid w:val="00A60672"/>
    <w:rsid w:val="00A60B49"/>
    <w:rsid w:val="00A6325C"/>
    <w:rsid w:val="00A678FD"/>
    <w:rsid w:val="00A73624"/>
    <w:rsid w:val="00A77FA3"/>
    <w:rsid w:val="00A8021F"/>
    <w:rsid w:val="00A86385"/>
    <w:rsid w:val="00A910CA"/>
    <w:rsid w:val="00A92133"/>
    <w:rsid w:val="00AA0669"/>
    <w:rsid w:val="00AA391D"/>
    <w:rsid w:val="00AC13D5"/>
    <w:rsid w:val="00AC1E6C"/>
    <w:rsid w:val="00AC2857"/>
    <w:rsid w:val="00AC446D"/>
    <w:rsid w:val="00AC5C45"/>
    <w:rsid w:val="00AD1AC8"/>
    <w:rsid w:val="00AD690E"/>
    <w:rsid w:val="00AD7374"/>
    <w:rsid w:val="00AE6C88"/>
    <w:rsid w:val="00AF120E"/>
    <w:rsid w:val="00AF5DB3"/>
    <w:rsid w:val="00B100E3"/>
    <w:rsid w:val="00B10B55"/>
    <w:rsid w:val="00B226E6"/>
    <w:rsid w:val="00B2608F"/>
    <w:rsid w:val="00B34F04"/>
    <w:rsid w:val="00B56A0A"/>
    <w:rsid w:val="00B73447"/>
    <w:rsid w:val="00B81DA7"/>
    <w:rsid w:val="00B97829"/>
    <w:rsid w:val="00BA30DD"/>
    <w:rsid w:val="00BA4868"/>
    <w:rsid w:val="00BC01AE"/>
    <w:rsid w:val="00BD3719"/>
    <w:rsid w:val="00BD4D2C"/>
    <w:rsid w:val="00BD6B53"/>
    <w:rsid w:val="00BE037A"/>
    <w:rsid w:val="00BE7763"/>
    <w:rsid w:val="00BF2137"/>
    <w:rsid w:val="00BF2213"/>
    <w:rsid w:val="00BF5F9F"/>
    <w:rsid w:val="00BF7BFB"/>
    <w:rsid w:val="00C1150B"/>
    <w:rsid w:val="00C16C7C"/>
    <w:rsid w:val="00C22014"/>
    <w:rsid w:val="00C22B55"/>
    <w:rsid w:val="00C22E68"/>
    <w:rsid w:val="00C261EE"/>
    <w:rsid w:val="00C4435F"/>
    <w:rsid w:val="00C61339"/>
    <w:rsid w:val="00C6340A"/>
    <w:rsid w:val="00C856F8"/>
    <w:rsid w:val="00C90628"/>
    <w:rsid w:val="00C91620"/>
    <w:rsid w:val="00CA170D"/>
    <w:rsid w:val="00CB49F8"/>
    <w:rsid w:val="00CB6423"/>
    <w:rsid w:val="00CC02B1"/>
    <w:rsid w:val="00CC031D"/>
    <w:rsid w:val="00CC36DB"/>
    <w:rsid w:val="00CD6908"/>
    <w:rsid w:val="00CE42B2"/>
    <w:rsid w:val="00CE59D1"/>
    <w:rsid w:val="00CE5B48"/>
    <w:rsid w:val="00CF45A7"/>
    <w:rsid w:val="00D06D4C"/>
    <w:rsid w:val="00D12FA9"/>
    <w:rsid w:val="00D168C0"/>
    <w:rsid w:val="00D22D52"/>
    <w:rsid w:val="00D249F1"/>
    <w:rsid w:val="00D411CC"/>
    <w:rsid w:val="00D471B0"/>
    <w:rsid w:val="00D61ACF"/>
    <w:rsid w:val="00D63226"/>
    <w:rsid w:val="00D76DB8"/>
    <w:rsid w:val="00D77093"/>
    <w:rsid w:val="00D835EA"/>
    <w:rsid w:val="00D86EAF"/>
    <w:rsid w:val="00D9391E"/>
    <w:rsid w:val="00D95B8E"/>
    <w:rsid w:val="00DA5372"/>
    <w:rsid w:val="00DA5C78"/>
    <w:rsid w:val="00DC0DEF"/>
    <w:rsid w:val="00DD527D"/>
    <w:rsid w:val="00DD5551"/>
    <w:rsid w:val="00DD5715"/>
    <w:rsid w:val="00DD7B3E"/>
    <w:rsid w:val="00DE1496"/>
    <w:rsid w:val="00DE1570"/>
    <w:rsid w:val="00DE1E3E"/>
    <w:rsid w:val="00DF1F68"/>
    <w:rsid w:val="00DF1FCA"/>
    <w:rsid w:val="00E052F9"/>
    <w:rsid w:val="00E07061"/>
    <w:rsid w:val="00E101A8"/>
    <w:rsid w:val="00E13597"/>
    <w:rsid w:val="00E22DE2"/>
    <w:rsid w:val="00E26AF0"/>
    <w:rsid w:val="00E2702E"/>
    <w:rsid w:val="00E4421E"/>
    <w:rsid w:val="00E44BF5"/>
    <w:rsid w:val="00E53950"/>
    <w:rsid w:val="00E607F1"/>
    <w:rsid w:val="00E63CA0"/>
    <w:rsid w:val="00E6539B"/>
    <w:rsid w:val="00E733A3"/>
    <w:rsid w:val="00E73EF3"/>
    <w:rsid w:val="00E763F6"/>
    <w:rsid w:val="00E94D00"/>
    <w:rsid w:val="00E95D44"/>
    <w:rsid w:val="00EA03E2"/>
    <w:rsid w:val="00EA2A11"/>
    <w:rsid w:val="00EB410B"/>
    <w:rsid w:val="00EC0BDA"/>
    <w:rsid w:val="00EE3683"/>
    <w:rsid w:val="00EE491E"/>
    <w:rsid w:val="00EE78D8"/>
    <w:rsid w:val="00EF7B54"/>
    <w:rsid w:val="00F13755"/>
    <w:rsid w:val="00F1387E"/>
    <w:rsid w:val="00F172B1"/>
    <w:rsid w:val="00F22EDE"/>
    <w:rsid w:val="00F24968"/>
    <w:rsid w:val="00F26A87"/>
    <w:rsid w:val="00F274B1"/>
    <w:rsid w:val="00F43599"/>
    <w:rsid w:val="00F54635"/>
    <w:rsid w:val="00F90BC6"/>
    <w:rsid w:val="00F927DB"/>
    <w:rsid w:val="00F97DA8"/>
    <w:rsid w:val="00FA3183"/>
    <w:rsid w:val="00FB2429"/>
    <w:rsid w:val="00FB408E"/>
    <w:rsid w:val="00FB5EEC"/>
    <w:rsid w:val="00FC47B2"/>
    <w:rsid w:val="00FC47DD"/>
    <w:rsid w:val="00FD6C4C"/>
    <w:rsid w:val="00FD727B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F76F47-D5FA-47C8-A0B8-5CA9264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2C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60E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71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1D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71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1D6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48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8CA"/>
    <w:rPr>
      <w:rFonts w:ascii="Segoe UI" w:eastAsia="Times New Roman" w:hAnsi="Segoe UI" w:cs="Segoe UI"/>
      <w:sz w:val="18"/>
      <w:szCs w:val="18"/>
      <w:lang w:eastAsia="fr-FR"/>
    </w:rPr>
  </w:style>
  <w:style w:type="paragraph" w:styleId="Sansinterligne">
    <w:name w:val="No Spacing"/>
    <w:uiPriority w:val="1"/>
    <w:qFormat/>
    <w:rsid w:val="00D7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E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515F"/>
    <w:rPr>
      <w:color w:val="808080"/>
    </w:rPr>
  </w:style>
  <w:style w:type="paragraph" w:customStyle="1" w:styleId="Standard">
    <w:name w:val="Standard"/>
    <w:rsid w:val="00AC1E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A7B5-58A7-4772-9801-E377607F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Votre nom</dc:creator>
  <cp:keywords/>
  <dc:description/>
  <cp:lastModifiedBy>Mairie</cp:lastModifiedBy>
  <cp:revision>5</cp:revision>
  <cp:lastPrinted>2017-06-14T07:53:00Z</cp:lastPrinted>
  <dcterms:created xsi:type="dcterms:W3CDTF">2017-06-13T16:17:00Z</dcterms:created>
  <dcterms:modified xsi:type="dcterms:W3CDTF">2017-06-14T07:59:00Z</dcterms:modified>
</cp:coreProperties>
</file>