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55BC" w:rsidRDefault="00007562" w:rsidP="007C44D8">
      <w:pPr>
        <w:shd w:val="clear" w:color="auto" w:fill="A6A6A6" w:themeFill="background1" w:themeFillShade="A6"/>
        <w:jc w:val="center"/>
        <w:rPr>
          <w:rFonts w:ascii="Bookman Old Style" w:hAnsi="Bookman Old Style"/>
          <w:b/>
          <w:sz w:val="32"/>
          <w:szCs w:val="32"/>
        </w:rPr>
      </w:pPr>
      <w:bookmarkStart w:id="0" w:name="_GoBack"/>
      <w:bookmarkEnd w:id="0"/>
      <w:r>
        <w:rPr>
          <w:rFonts w:ascii="Bookman Old Style" w:hAnsi="Bookman Old Style"/>
          <w:b/>
          <w:noProof/>
          <w:sz w:val="28"/>
          <w:szCs w:val="28"/>
        </w:rPr>
        <w:drawing>
          <wp:anchor distT="0" distB="0" distL="114300" distR="114300" simplePos="0" relativeHeight="251661312" behindDoc="1" locked="0" layoutInCell="1" allowOverlap="1">
            <wp:simplePos x="0" y="0"/>
            <wp:positionH relativeFrom="margin">
              <wp:posOffset>-208280</wp:posOffset>
            </wp:positionH>
            <wp:positionV relativeFrom="paragraph">
              <wp:posOffset>95885</wp:posOffset>
            </wp:positionV>
            <wp:extent cx="1052195" cy="942975"/>
            <wp:effectExtent l="0" t="0" r="0" b="9525"/>
            <wp:wrapTight wrapText="bothSides">
              <wp:wrapPolygon edited="0">
                <wp:start x="0" y="0"/>
                <wp:lineTo x="0" y="21382"/>
                <wp:lineTo x="21118" y="21382"/>
                <wp:lineTo x="21118" y="0"/>
                <wp:lineTo x="0" y="0"/>
              </wp:wrapPolygon>
            </wp:wrapTight>
            <wp:docPr id="1" name="Image 1" descr="C:\Documents and Settings\Secrétaire\Bureau\Blason laire_defini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étaire\Bureau\Blason laire_definitif-1.JPG"/>
                    <pic:cNvPicPr>
                      <a:picLocks noChangeAspect="1" noChangeArrowheads="1"/>
                    </pic:cNvPicPr>
                  </pic:nvPicPr>
                  <pic:blipFill>
                    <a:blip r:embed="rId8" cstate="print"/>
                    <a:srcRect/>
                    <a:stretch>
                      <a:fillRect/>
                    </a:stretch>
                  </pic:blipFill>
                  <pic:spPr bwMode="auto">
                    <a:xfrm>
                      <a:off x="0" y="0"/>
                      <a:ext cx="1052195" cy="942975"/>
                    </a:xfrm>
                    <a:prstGeom prst="rect">
                      <a:avLst/>
                    </a:prstGeom>
                    <a:noFill/>
                    <a:ln w="9525">
                      <a:noFill/>
                      <a:miter lim="800000"/>
                      <a:headEnd/>
                      <a:tailEnd/>
                    </a:ln>
                  </pic:spPr>
                </pic:pic>
              </a:graphicData>
            </a:graphic>
          </wp:anchor>
        </w:drawing>
      </w:r>
      <w:r w:rsidR="00BD6B53">
        <w:rPr>
          <w:rFonts w:ascii="Bookman Old Style" w:hAnsi="Bookman Old Style"/>
          <w:b/>
          <w:sz w:val="32"/>
          <w:szCs w:val="32"/>
        </w:rPr>
        <w:t xml:space="preserve">Compte-rendu du conseil municipal du </w:t>
      </w:r>
    </w:p>
    <w:p w:rsidR="00BD6B53" w:rsidRDefault="00656ABF"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M</w:t>
      </w:r>
      <w:r w:rsidR="002F68D2">
        <w:rPr>
          <w:rFonts w:ascii="Bookman Old Style" w:hAnsi="Bookman Old Style"/>
          <w:b/>
          <w:sz w:val="32"/>
          <w:szCs w:val="32"/>
        </w:rPr>
        <w:t>ercredi 17</w:t>
      </w:r>
      <w:r w:rsidR="00E052F9">
        <w:rPr>
          <w:rFonts w:ascii="Bookman Old Style" w:hAnsi="Bookman Old Style"/>
          <w:b/>
          <w:sz w:val="32"/>
          <w:szCs w:val="32"/>
        </w:rPr>
        <w:t xml:space="preserve"> </w:t>
      </w:r>
      <w:r w:rsidR="002F68D2">
        <w:rPr>
          <w:rFonts w:ascii="Bookman Old Style" w:hAnsi="Bookman Old Style"/>
          <w:b/>
          <w:sz w:val="32"/>
          <w:szCs w:val="32"/>
        </w:rPr>
        <w:t>mai</w:t>
      </w:r>
      <w:r w:rsidR="00E052F9">
        <w:rPr>
          <w:rFonts w:ascii="Bookman Old Style" w:hAnsi="Bookman Old Style"/>
          <w:b/>
          <w:sz w:val="32"/>
          <w:szCs w:val="32"/>
        </w:rPr>
        <w:t xml:space="preserve"> 2017</w:t>
      </w:r>
      <w:r w:rsidR="00797625">
        <w:rPr>
          <w:rFonts w:ascii="Bookman Old Style" w:hAnsi="Bookman Old Style"/>
          <w:b/>
          <w:sz w:val="32"/>
          <w:szCs w:val="32"/>
        </w:rPr>
        <w:t xml:space="preserve"> </w:t>
      </w:r>
    </w:p>
    <w:p w:rsidR="00BD6B53" w:rsidRDefault="009A722D"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LAIRE</w:t>
      </w:r>
    </w:p>
    <w:p w:rsidR="003B0D20" w:rsidRDefault="003B0D20" w:rsidP="00196C7F">
      <w:pPr>
        <w:rPr>
          <w:b/>
          <w:sz w:val="28"/>
          <w:szCs w:val="28"/>
          <w:u w:val="single"/>
        </w:rPr>
      </w:pPr>
    </w:p>
    <w:p w:rsidR="00B73447" w:rsidRDefault="00B73447" w:rsidP="00196C7F">
      <w:pPr>
        <w:rPr>
          <w:b/>
          <w:sz w:val="28"/>
          <w:szCs w:val="28"/>
          <w:u w:val="single"/>
        </w:rPr>
      </w:pPr>
    </w:p>
    <w:p w:rsidR="00B81DA7" w:rsidRPr="00743CEB" w:rsidRDefault="00600D4E" w:rsidP="00743CEB">
      <w:pPr>
        <w:pStyle w:val="Paragraphedeliste"/>
        <w:ind w:left="1080"/>
        <w:jc w:val="both"/>
        <w:rPr>
          <w:b/>
          <w:sz w:val="28"/>
          <w:szCs w:val="28"/>
          <w:u w:val="single"/>
        </w:rPr>
      </w:pPr>
      <w:r>
        <w:rPr>
          <w:rFonts w:ascii="Bookman Old Style" w:hAnsi="Bookman Old Style"/>
          <w:noProof/>
        </w:rPr>
        <mc:AlternateContent>
          <mc:Choice Requires="wps">
            <w:drawing>
              <wp:anchor distT="0" distB="0" distL="114300" distR="114300" simplePos="0" relativeHeight="251659264" behindDoc="0" locked="0" layoutInCell="0" allowOverlap="1">
                <wp:simplePos x="0" y="0"/>
                <wp:positionH relativeFrom="page">
                  <wp:posOffset>171450</wp:posOffset>
                </wp:positionH>
                <wp:positionV relativeFrom="page">
                  <wp:posOffset>1308100</wp:posOffset>
                </wp:positionV>
                <wp:extent cx="762000" cy="8978900"/>
                <wp:effectExtent l="0" t="3175" r="0" b="0"/>
                <wp:wrapSquare wrapText="bothSides"/>
                <wp:docPr id="2"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9789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Narrow horizontal" style="position:absolute;left:0;text-align:left;margin-left:13.5pt;margin-top:103pt;width:60pt;height: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" o:allowincell="f" fillcolor="#e6eed5" stroked="f" strokecolor="#622423" strokeweight="6pt">
                <v:fill r:id="rId9" o:title="" type="pattern"/>
                <v:stroke linestyle="thickThin"/>
                <v:textbox inset="18pt,18pt,18pt,18pt">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v:textbox>
                <w10:wrap type="square" anchorx="page" anchory="page"/>
              </v:shape>
            </w:pict>
          </mc:Fallback>
        </mc:AlternateContent>
      </w:r>
      <w:r w:rsidR="00743CEB">
        <w:rPr>
          <w:b/>
          <w:sz w:val="28"/>
          <w:szCs w:val="28"/>
          <w:u w:val="single"/>
        </w:rPr>
        <w:t xml:space="preserve">1) </w:t>
      </w:r>
      <w:r w:rsidR="009963DE" w:rsidRPr="00743CEB">
        <w:rPr>
          <w:b/>
          <w:sz w:val="28"/>
          <w:szCs w:val="28"/>
          <w:u w:val="single"/>
        </w:rPr>
        <w:t xml:space="preserve">Approbation du compte-rendu du </w:t>
      </w:r>
      <w:r w:rsidR="002F68D2" w:rsidRPr="00743CEB">
        <w:rPr>
          <w:b/>
          <w:sz w:val="28"/>
          <w:szCs w:val="28"/>
          <w:u w:val="single"/>
        </w:rPr>
        <w:t>5.04</w:t>
      </w:r>
      <w:r w:rsidR="00E052F9" w:rsidRPr="00743CEB">
        <w:rPr>
          <w:b/>
          <w:sz w:val="28"/>
          <w:szCs w:val="28"/>
          <w:u w:val="single"/>
        </w:rPr>
        <w:t>.2017</w:t>
      </w:r>
    </w:p>
    <w:p w:rsidR="007C44D8" w:rsidRPr="00B81DA7" w:rsidRDefault="00B81DA7" w:rsidP="00CE42B2">
      <w:pPr>
        <w:jc w:val="both"/>
        <w:rPr>
          <w:b/>
          <w:sz w:val="28"/>
          <w:szCs w:val="28"/>
          <w:u w:val="single"/>
        </w:rPr>
      </w:pPr>
      <w:r>
        <w:t>L</w:t>
      </w:r>
      <w:r w:rsidR="00D249F1">
        <w:t>e compte-rendu est adopté à l’unanimité.</w:t>
      </w:r>
    </w:p>
    <w:p w:rsidR="009963DE" w:rsidRPr="00E07061" w:rsidRDefault="009963DE" w:rsidP="00CE42B2">
      <w:pPr>
        <w:jc w:val="both"/>
        <w:rPr>
          <w:sz w:val="28"/>
          <w:szCs w:val="28"/>
        </w:rPr>
      </w:pPr>
    </w:p>
    <w:p w:rsidR="00D249F1" w:rsidRDefault="004E5E30" w:rsidP="00CE42B2">
      <w:pPr>
        <w:jc w:val="both"/>
        <w:rPr>
          <w:b/>
          <w:sz w:val="28"/>
          <w:szCs w:val="28"/>
          <w:u w:val="single"/>
        </w:rPr>
      </w:pPr>
      <w:r>
        <w:rPr>
          <w:b/>
          <w:sz w:val="28"/>
          <w:szCs w:val="28"/>
          <w:u w:val="single"/>
        </w:rPr>
        <w:t>2</w:t>
      </w:r>
      <w:r w:rsidRPr="00E95D44">
        <w:rPr>
          <w:b/>
          <w:sz w:val="28"/>
          <w:szCs w:val="28"/>
          <w:u w:val="single"/>
        </w:rPr>
        <w:t xml:space="preserve">) </w:t>
      </w:r>
      <w:r w:rsidR="00076FDE">
        <w:rPr>
          <w:b/>
          <w:sz w:val="28"/>
          <w:szCs w:val="28"/>
          <w:u w:val="single"/>
        </w:rPr>
        <w:t>Avenant délégation de service public Véolia</w:t>
      </w:r>
    </w:p>
    <w:p w:rsidR="00076FDE" w:rsidRDefault="00076FDE" w:rsidP="00CE42B2">
      <w:pPr>
        <w:jc w:val="both"/>
        <w:rPr>
          <w:b/>
          <w:sz w:val="28"/>
          <w:szCs w:val="28"/>
          <w:u w:val="single"/>
        </w:rPr>
      </w:pPr>
      <w:r>
        <w:rPr>
          <w:b/>
          <w:sz w:val="28"/>
          <w:szCs w:val="28"/>
          <w:u w:val="single"/>
        </w:rPr>
        <w:t>Convention de déversement des effluents de la commune de Laire dans le réseau d’assainissement de PMA</w:t>
      </w:r>
    </w:p>
    <w:p w:rsidR="00743CEB" w:rsidRDefault="00743CEB" w:rsidP="00CE42B2">
      <w:pPr>
        <w:jc w:val="both"/>
        <w:rPr>
          <w:b/>
          <w:sz w:val="28"/>
          <w:szCs w:val="28"/>
          <w:u w:val="single"/>
        </w:rPr>
      </w:pPr>
    </w:p>
    <w:p w:rsidR="003D2001" w:rsidRDefault="003D2001" w:rsidP="003D2001">
      <w:pPr>
        <w:jc w:val="both"/>
      </w:pPr>
      <w:r>
        <w:t xml:space="preserve">La commune de Laire </w:t>
      </w:r>
      <w:r w:rsidR="003F75A8">
        <w:t>a repris</w:t>
      </w:r>
      <w:r>
        <w:t xml:space="preserve"> la compétence assainissement. La participation</w:t>
      </w:r>
      <w:r w:rsidR="003F75A8">
        <w:t xml:space="preserve"> financière fixée par la CCVR est maintenue, cette participation</w:t>
      </w:r>
      <w:r>
        <w:t xml:space="preserve"> de 0,75€ HT/m</w:t>
      </w:r>
      <w:r w:rsidR="00816DAD">
        <w:rPr>
          <w:vertAlign w:val="superscript"/>
        </w:rPr>
        <w:t xml:space="preserve">3  </w:t>
      </w:r>
      <w:r w:rsidR="00816DAD">
        <w:t>(</w:t>
      </w:r>
      <w:r w:rsidRPr="001A31DD">
        <w:t>délibération du 12.12.2016</w:t>
      </w:r>
      <w:r>
        <w:t>) instaurée à cette date sera répartie de la manière suivante :</w:t>
      </w:r>
    </w:p>
    <w:p w:rsidR="003D2001" w:rsidRDefault="003D2001" w:rsidP="003D2001">
      <w:pPr>
        <w:pStyle w:val="Paragraphedeliste"/>
        <w:numPr>
          <w:ilvl w:val="0"/>
          <w:numId w:val="38"/>
        </w:numPr>
        <w:jc w:val="both"/>
      </w:pPr>
      <w:r>
        <w:t>0,2777€ HT/m</w:t>
      </w:r>
      <w:r>
        <w:rPr>
          <w:vertAlign w:val="superscript"/>
        </w:rPr>
        <w:t xml:space="preserve">3 </w:t>
      </w:r>
      <w:r>
        <w:t>au titre de la RIC (redevance d’investissement communautaire) de PMA (Pays de Montbéliard Agglomération)</w:t>
      </w:r>
      <w:r w:rsidR="00816DAD">
        <w:t>, pour l’entretien</w:t>
      </w:r>
      <w:r w:rsidR="009873FD">
        <w:t xml:space="preserve"> de la station et le réseau d’eaux usées intercommunal</w:t>
      </w:r>
      <w:r>
        <w:t>.</w:t>
      </w:r>
    </w:p>
    <w:p w:rsidR="003D2001" w:rsidRDefault="003D2001" w:rsidP="003D2001">
      <w:pPr>
        <w:pStyle w:val="Paragraphedeliste"/>
        <w:numPr>
          <w:ilvl w:val="0"/>
          <w:numId w:val="38"/>
        </w:numPr>
        <w:jc w:val="both"/>
      </w:pPr>
      <w:r>
        <w:t>0,4723€ HT/m</w:t>
      </w:r>
      <w:r>
        <w:rPr>
          <w:vertAlign w:val="superscript"/>
        </w:rPr>
        <w:t>3</w:t>
      </w:r>
      <w:r>
        <w:t xml:space="preserve"> pour la commune de Laire qui percevra par ailleurs la part fixe annuelle de 3.06€ HT</w:t>
      </w:r>
      <w:r w:rsidR="003F75A8">
        <w:t>, pour la maintenance des ré</w:t>
      </w:r>
      <w:r w:rsidR="009873FD">
        <w:t>seaux communaux (</w:t>
      </w:r>
      <w:r w:rsidR="00816DAD">
        <w:t>eaux pluviales et</w:t>
      </w:r>
      <w:r w:rsidR="003F75A8">
        <w:t xml:space="preserve"> eaux usées)</w:t>
      </w:r>
      <w:r>
        <w:t>.</w:t>
      </w:r>
    </w:p>
    <w:p w:rsidR="00076FDE" w:rsidRDefault="003D2001" w:rsidP="00743CEB">
      <w:pPr>
        <w:pStyle w:val="Paragraphedeliste"/>
        <w:jc w:val="both"/>
      </w:pPr>
      <w:r>
        <w:t>En accord avec PMA et VEOLIA, le paiement concernant la période du 01.01 au 31.03.2017 sera effectué par PMA. Par la suite VEOLIA versera directement à la commune le montant de cette redevance (0,4723€ HT/m</w:t>
      </w:r>
      <w:r>
        <w:rPr>
          <w:vertAlign w:val="superscript"/>
        </w:rPr>
        <w:t>3</w:t>
      </w:r>
      <w:r>
        <w:t>).</w:t>
      </w:r>
    </w:p>
    <w:p w:rsidR="00743CEB" w:rsidRDefault="00743CEB" w:rsidP="00CE42B2">
      <w:pPr>
        <w:jc w:val="both"/>
      </w:pPr>
    </w:p>
    <w:p w:rsidR="00797625" w:rsidRDefault="00797625" w:rsidP="00CE42B2">
      <w:pPr>
        <w:jc w:val="both"/>
        <w:rPr>
          <w:b/>
          <w:sz w:val="28"/>
          <w:szCs w:val="28"/>
          <w:u w:val="single"/>
        </w:rPr>
      </w:pPr>
      <w:r w:rsidRPr="00797625">
        <w:rPr>
          <w:b/>
          <w:sz w:val="28"/>
          <w:szCs w:val="28"/>
          <w:u w:val="single"/>
        </w:rPr>
        <w:t xml:space="preserve">3) </w:t>
      </w:r>
      <w:r w:rsidR="00076FDE">
        <w:rPr>
          <w:b/>
          <w:sz w:val="28"/>
          <w:szCs w:val="28"/>
          <w:u w:val="single"/>
        </w:rPr>
        <w:t>Assurance dommag</w:t>
      </w:r>
      <w:r w:rsidR="00743CEB">
        <w:rPr>
          <w:b/>
          <w:sz w:val="28"/>
          <w:szCs w:val="28"/>
          <w:u w:val="single"/>
        </w:rPr>
        <w:t>e ouvrage salle socio-culturelle</w:t>
      </w:r>
    </w:p>
    <w:p w:rsidR="00743CEB" w:rsidRDefault="00743CEB" w:rsidP="00CE42B2">
      <w:pPr>
        <w:jc w:val="both"/>
        <w:rPr>
          <w:b/>
          <w:sz w:val="28"/>
          <w:szCs w:val="28"/>
          <w:u w:val="single"/>
        </w:rPr>
      </w:pPr>
    </w:p>
    <w:p w:rsidR="0019035A" w:rsidRPr="00A24B72" w:rsidRDefault="0019035A" w:rsidP="00CE42B2">
      <w:pPr>
        <w:jc w:val="both"/>
      </w:pPr>
      <w:r>
        <w:t xml:space="preserve">Sur proposition de Mr le Maire, le conseil s’était prononcé en faveur de la souscription d’une assurance </w:t>
      </w:r>
      <w:r w:rsidRPr="00A24B72">
        <w:t>dommage ouvrage.</w:t>
      </w:r>
    </w:p>
    <w:p w:rsidR="0019035A" w:rsidRPr="00A24B72" w:rsidRDefault="0019035A" w:rsidP="00CE42B2">
      <w:pPr>
        <w:jc w:val="both"/>
      </w:pPr>
      <w:r w:rsidRPr="00A24B72">
        <w:t xml:space="preserve">Suite à la modification du montant total des travaux, de nouvelles propositions ont été émises par les deux compagnies qui ont </w:t>
      </w:r>
      <w:r w:rsidR="00DF1F68" w:rsidRPr="00A24B72">
        <w:t>répondu (GROUPAMA et la MAIF).</w:t>
      </w:r>
    </w:p>
    <w:p w:rsidR="00DF1F68" w:rsidRDefault="00DF1F68" w:rsidP="00CE42B2">
      <w:pPr>
        <w:jc w:val="both"/>
      </w:pPr>
      <w:r w:rsidRPr="00A24B72">
        <w:t>Après examen de ces nouvelles</w:t>
      </w:r>
      <w:r>
        <w:t xml:space="preserve"> offres, il s’avère que celle de la MAIF est la plus intéressante.</w:t>
      </w:r>
    </w:p>
    <w:p w:rsidR="003D2001" w:rsidRDefault="00DF1F68" w:rsidP="00CE42B2">
      <w:pPr>
        <w:jc w:val="both"/>
      </w:pPr>
      <w:r>
        <w:t>L’</w:t>
      </w:r>
      <w:r w:rsidR="00C22014">
        <w:t xml:space="preserve">exposé du Maire entendu, le Conseil décide de retenir la proposition de la MAIF, pour un montant de </w:t>
      </w:r>
      <w:r w:rsidR="003D2001">
        <w:t>6 592.32 €.</w:t>
      </w:r>
    </w:p>
    <w:p w:rsidR="00C22014" w:rsidRPr="00C22014" w:rsidRDefault="00C22014" w:rsidP="00CE42B2">
      <w:pPr>
        <w:jc w:val="both"/>
      </w:pPr>
      <w:r>
        <w:t>Unanimité du conseil.</w:t>
      </w:r>
    </w:p>
    <w:p w:rsidR="00743CEB" w:rsidRDefault="00743CEB" w:rsidP="00CE42B2">
      <w:pPr>
        <w:jc w:val="both"/>
      </w:pPr>
    </w:p>
    <w:p w:rsidR="00CC031D" w:rsidRDefault="00CC031D" w:rsidP="00CE42B2">
      <w:pPr>
        <w:jc w:val="both"/>
        <w:rPr>
          <w:b/>
          <w:sz w:val="28"/>
          <w:szCs w:val="28"/>
          <w:u w:val="single"/>
        </w:rPr>
      </w:pPr>
      <w:r w:rsidRPr="00CC031D">
        <w:rPr>
          <w:b/>
          <w:sz w:val="28"/>
          <w:szCs w:val="28"/>
          <w:u w:val="single"/>
        </w:rPr>
        <w:t xml:space="preserve">4) </w:t>
      </w:r>
      <w:r w:rsidR="00076FDE">
        <w:rPr>
          <w:b/>
          <w:sz w:val="28"/>
          <w:szCs w:val="28"/>
          <w:u w:val="single"/>
        </w:rPr>
        <w:t xml:space="preserve">Rattachement Mme DUBAN à la commune de Semondans </w:t>
      </w:r>
    </w:p>
    <w:p w:rsidR="00743CEB" w:rsidRDefault="00743CEB" w:rsidP="00CE42B2">
      <w:pPr>
        <w:jc w:val="both"/>
        <w:rPr>
          <w:b/>
          <w:sz w:val="28"/>
          <w:szCs w:val="28"/>
          <w:u w:val="single"/>
        </w:rPr>
      </w:pPr>
    </w:p>
    <w:p w:rsidR="006F012A" w:rsidRDefault="006F012A" w:rsidP="00CE42B2">
      <w:pPr>
        <w:jc w:val="both"/>
      </w:pPr>
      <w:r>
        <w:t>Mr le Maire rappelle au Conseil que par la délibération en date du 13 octobre 2016, le SIVU des Lilas a délibéré sur le reclassement du personnel pour la rentrée 2017ainsi que sur la répartition financière. Il est demandé au Conseil de bien vouloir se prononcer sur le rattachement de Mme DUBAN Jocelyne à la commune de SEMONDANS</w:t>
      </w:r>
      <w:r w:rsidR="00551021">
        <w:t xml:space="preserve"> pour la gestion de ses indemnités.</w:t>
      </w:r>
    </w:p>
    <w:p w:rsidR="003D2001" w:rsidRDefault="003D2001" w:rsidP="00CE42B2">
      <w:pPr>
        <w:jc w:val="both"/>
      </w:pPr>
      <w:r>
        <w:t>Après en avoir délibéré, le Conseil, à l’unanimité, accepte cette proposition.</w:t>
      </w:r>
    </w:p>
    <w:p w:rsidR="00021AEB" w:rsidRDefault="00551021" w:rsidP="00CE42B2">
      <w:pPr>
        <w:jc w:val="both"/>
      </w:pPr>
      <w:r>
        <w:t>Lors de sa séanc</w:t>
      </w:r>
      <w:r w:rsidR="00A24B72">
        <w:t>e du 12 décembre 2016, le Conseil a validé la répartition</w:t>
      </w:r>
      <w:r w:rsidR="00021AEB">
        <w:t xml:space="preserve"> des frais de personnel selon </w:t>
      </w:r>
      <w:r w:rsidR="009873FD">
        <w:t>les modalités</w:t>
      </w:r>
      <w:r w:rsidR="00021AEB">
        <w:t xml:space="preserve"> prévue</w:t>
      </w:r>
      <w:r w:rsidR="009873FD">
        <w:t>s</w:t>
      </w:r>
      <w:r w:rsidR="00021AEB">
        <w:t xml:space="preserve"> à l’article 7 des statuts du SIVU des Lilas (</w:t>
      </w:r>
      <w:r w:rsidR="00A86385">
        <w:t>au prorata</w:t>
      </w:r>
      <w:r w:rsidR="00021AEB">
        <w:t xml:space="preserve"> du nombre d’habitants). </w:t>
      </w:r>
    </w:p>
    <w:p w:rsidR="00743CEB" w:rsidRDefault="00743CEB" w:rsidP="00CE42B2">
      <w:pPr>
        <w:jc w:val="both"/>
      </w:pPr>
    </w:p>
    <w:p w:rsidR="00CC031D" w:rsidRDefault="00CC031D" w:rsidP="00CE42B2">
      <w:pPr>
        <w:jc w:val="both"/>
        <w:rPr>
          <w:b/>
          <w:sz w:val="28"/>
          <w:szCs w:val="28"/>
          <w:u w:val="single"/>
        </w:rPr>
      </w:pPr>
      <w:r w:rsidRPr="00CC031D">
        <w:rPr>
          <w:b/>
          <w:sz w:val="28"/>
          <w:szCs w:val="28"/>
          <w:u w:val="single"/>
        </w:rPr>
        <w:t xml:space="preserve">5) </w:t>
      </w:r>
      <w:r w:rsidR="00076FDE">
        <w:rPr>
          <w:b/>
          <w:sz w:val="28"/>
          <w:szCs w:val="28"/>
          <w:u w:val="single"/>
        </w:rPr>
        <w:t>Intégration de la commune de L</w:t>
      </w:r>
      <w:r w:rsidR="0082619D">
        <w:rPr>
          <w:b/>
          <w:sz w:val="28"/>
          <w:szCs w:val="28"/>
          <w:u w:val="single"/>
        </w:rPr>
        <w:t>AIRE</w:t>
      </w:r>
      <w:r w:rsidR="00076FDE">
        <w:rPr>
          <w:b/>
          <w:sz w:val="28"/>
          <w:szCs w:val="28"/>
          <w:u w:val="single"/>
        </w:rPr>
        <w:t xml:space="preserve"> au pôle des écoles liées de C</w:t>
      </w:r>
      <w:r w:rsidR="003D2001">
        <w:rPr>
          <w:b/>
          <w:sz w:val="28"/>
          <w:szCs w:val="28"/>
          <w:u w:val="single"/>
        </w:rPr>
        <w:t>OISEVAUX</w:t>
      </w:r>
    </w:p>
    <w:p w:rsidR="00743CEB" w:rsidRDefault="00743CEB" w:rsidP="00CE42B2">
      <w:pPr>
        <w:jc w:val="both"/>
        <w:rPr>
          <w:b/>
          <w:sz w:val="28"/>
          <w:szCs w:val="28"/>
          <w:u w:val="single"/>
        </w:rPr>
      </w:pPr>
    </w:p>
    <w:p w:rsidR="00BF5F9F" w:rsidRDefault="003D2001" w:rsidP="00CE42B2">
      <w:pPr>
        <w:jc w:val="both"/>
      </w:pPr>
      <w:r>
        <w:t xml:space="preserve">3 communes sur 5 </w:t>
      </w:r>
      <w:r w:rsidR="00687FE9">
        <w:t>ont opté</w:t>
      </w:r>
      <w:r>
        <w:t xml:space="preserve"> </w:t>
      </w:r>
      <w:r w:rsidR="00687FE9">
        <w:t>pour</w:t>
      </w:r>
      <w:r>
        <w:t xml:space="preserve"> cette intégration. La commune de TAVEY devrait prochainement se prononcer favorablement. La décision de la commune d’HERICOURT</w:t>
      </w:r>
      <w:r w:rsidR="0082619D">
        <w:t xml:space="preserve"> sera connue tardivement. En l’état, il n’est pas possible  d’affirmer l’intégration de la commune de LAIRE au syndicat du pôle des écoles liées. Une réunion s’est tenue le 10 mai à la Sous-Préfecture de LURE sans la présence des Maires. L’éducation nationale a été conviée pour donner son avis. La décision finale revenant aux communes.</w:t>
      </w:r>
      <w:r w:rsidR="00743CEB">
        <w:t xml:space="preserve"> En cas d’accord unanime, un arrêté concernant cette intégration sera pris par Mr le Sous-Préfet. Par ailleurs, des démarches sont en cours avec le conseil départemental pour déterminer les conditions du ramassage scolaire.</w:t>
      </w:r>
    </w:p>
    <w:p w:rsidR="00076FDE" w:rsidRDefault="00076FDE" w:rsidP="00CE42B2">
      <w:pPr>
        <w:jc w:val="both"/>
      </w:pPr>
    </w:p>
    <w:p w:rsidR="00743CEB" w:rsidRDefault="00743CEB" w:rsidP="00CE42B2">
      <w:pPr>
        <w:jc w:val="both"/>
        <w:rPr>
          <w:b/>
          <w:sz w:val="28"/>
          <w:szCs w:val="28"/>
          <w:u w:val="single"/>
        </w:rPr>
      </w:pPr>
    </w:p>
    <w:p w:rsidR="00BF5F9F" w:rsidRDefault="00BF5F9F" w:rsidP="00CE42B2">
      <w:pPr>
        <w:jc w:val="both"/>
        <w:rPr>
          <w:b/>
          <w:sz w:val="28"/>
          <w:szCs w:val="28"/>
          <w:u w:val="single"/>
        </w:rPr>
      </w:pPr>
      <w:r w:rsidRPr="00BF5F9F">
        <w:rPr>
          <w:b/>
          <w:sz w:val="28"/>
          <w:szCs w:val="28"/>
          <w:u w:val="single"/>
        </w:rPr>
        <w:t xml:space="preserve">6) </w:t>
      </w:r>
      <w:r w:rsidR="00076FDE">
        <w:rPr>
          <w:b/>
          <w:sz w:val="28"/>
          <w:szCs w:val="28"/>
          <w:u w:val="single"/>
        </w:rPr>
        <w:t>Action jeunesse</w:t>
      </w:r>
    </w:p>
    <w:p w:rsidR="00743CEB" w:rsidRDefault="00743CEB" w:rsidP="00CE42B2">
      <w:pPr>
        <w:jc w:val="both"/>
        <w:rPr>
          <w:b/>
          <w:sz w:val="28"/>
          <w:szCs w:val="28"/>
          <w:u w:val="single"/>
        </w:rPr>
      </w:pPr>
    </w:p>
    <w:p w:rsidR="00816DAD" w:rsidRDefault="000D3530" w:rsidP="00CE42B2">
      <w:pPr>
        <w:jc w:val="both"/>
      </w:pPr>
      <w:r w:rsidRPr="000D3530">
        <w:t>Suite à la dissolution de la CCVR</w:t>
      </w:r>
      <w:r>
        <w:t>, le Conseil</w:t>
      </w:r>
      <w:r w:rsidR="009873FD">
        <w:t xml:space="preserve"> Municipal</w:t>
      </w:r>
      <w:r>
        <w:t xml:space="preserve"> s’était prononcé en faveur de la poursuite de l’activité jeunesse</w:t>
      </w:r>
      <w:r w:rsidR="009873FD">
        <w:t xml:space="preserve"> par les FRANCAS jusqu’au 30 juin</w:t>
      </w:r>
      <w:r>
        <w:t xml:space="preserve"> 2017, moyennant une participation financière de 1178,62€</w:t>
      </w:r>
      <w:r w:rsidR="00A360CD">
        <w:t>.</w:t>
      </w:r>
    </w:p>
    <w:p w:rsidR="00A360CD" w:rsidRDefault="00A360CD" w:rsidP="00CE42B2">
      <w:pPr>
        <w:jc w:val="both"/>
      </w:pPr>
      <w:r>
        <w:t xml:space="preserve">Une réunion a eu lieu en mairie d’ISSANS pour connaître les communes intéressées par la poursuite de ce dispositif au </w:t>
      </w:r>
      <w:r w:rsidRPr="004514E1">
        <w:t>second semestre</w:t>
      </w:r>
      <w:r>
        <w:t xml:space="preserve"> 2017</w:t>
      </w:r>
      <w:r w:rsidR="00945700">
        <w:t>.</w:t>
      </w:r>
    </w:p>
    <w:p w:rsidR="00945700" w:rsidRDefault="00945700" w:rsidP="00CE42B2">
      <w:pPr>
        <w:jc w:val="both"/>
      </w:pPr>
      <w:r>
        <w:t xml:space="preserve">Lors de la réunion du 5.04.2017, le Conseil avait donné son accord de principe pour la poursuite de l’activité </w:t>
      </w:r>
      <w:r w:rsidR="00387878">
        <w:t xml:space="preserve">sous condition </w:t>
      </w:r>
      <w:r>
        <w:t>que le tarif reste identique.</w:t>
      </w:r>
    </w:p>
    <w:p w:rsidR="000B35D4" w:rsidRDefault="000B35D4" w:rsidP="00CE42B2">
      <w:pPr>
        <w:jc w:val="both"/>
      </w:pPr>
      <w:r>
        <w:t xml:space="preserve">Cependant, </w:t>
      </w:r>
      <w:r w:rsidRPr="00A24B72">
        <w:t>certaines communes ont délibéré et refusent la poursuite de ce dispos</w:t>
      </w:r>
      <w:r w:rsidR="00687FE9">
        <w:t>itif, ce qui a pour conséquence</w:t>
      </w:r>
      <w:r w:rsidRPr="00A24B72">
        <w:t xml:space="preserve"> la rectification des participations des communes souhaitant</w:t>
      </w:r>
      <w:r>
        <w:t xml:space="preserve"> y adhérer</w:t>
      </w:r>
      <w:r w:rsidR="004514E1">
        <w:t>.</w:t>
      </w:r>
    </w:p>
    <w:p w:rsidR="004514E1" w:rsidRDefault="004514E1" w:rsidP="00CE42B2">
      <w:pPr>
        <w:jc w:val="both"/>
      </w:pPr>
      <w:r>
        <w:t>Après délibération, le Conseil, considérant qu’il y a une modification des conditions financières, émet un avis défavorable à la poursuite de l’action jeunesse pour le second semestre 2017.</w:t>
      </w:r>
    </w:p>
    <w:p w:rsidR="00687FE9" w:rsidRPr="000D3530" w:rsidRDefault="00687FE9" w:rsidP="00CE42B2">
      <w:pPr>
        <w:jc w:val="both"/>
      </w:pPr>
      <w:r>
        <w:t>Les jeunes qui souhaitent participer à des activités peuvent s’adresser au centre SIGNORET à HERICOURT (cf page 38 du bulletin municipal n°21).</w:t>
      </w:r>
    </w:p>
    <w:p w:rsidR="00076FDE" w:rsidRDefault="00076FDE" w:rsidP="00CE42B2">
      <w:pPr>
        <w:jc w:val="both"/>
        <w:rPr>
          <w:b/>
          <w:sz w:val="28"/>
          <w:szCs w:val="28"/>
          <w:u w:val="single"/>
        </w:rPr>
      </w:pPr>
    </w:p>
    <w:p w:rsidR="00242C3A" w:rsidRDefault="00CB6423" w:rsidP="00CE42B2">
      <w:pPr>
        <w:jc w:val="both"/>
        <w:rPr>
          <w:b/>
          <w:sz w:val="28"/>
          <w:szCs w:val="28"/>
          <w:u w:val="single"/>
        </w:rPr>
      </w:pPr>
      <w:r>
        <w:rPr>
          <w:b/>
          <w:sz w:val="28"/>
          <w:szCs w:val="28"/>
          <w:u w:val="single"/>
        </w:rPr>
        <w:t>7</w:t>
      </w:r>
      <w:r w:rsidRPr="00CB6423">
        <w:rPr>
          <w:b/>
          <w:sz w:val="28"/>
          <w:szCs w:val="28"/>
          <w:u w:val="single"/>
        </w:rPr>
        <w:t xml:space="preserve">) </w:t>
      </w:r>
      <w:r w:rsidR="00076FDE">
        <w:rPr>
          <w:b/>
          <w:sz w:val="28"/>
          <w:szCs w:val="28"/>
          <w:u w:val="single"/>
        </w:rPr>
        <w:t>Avenant EIMI salle socio-culturelle</w:t>
      </w:r>
    </w:p>
    <w:p w:rsidR="00743CEB" w:rsidRPr="00CB6423" w:rsidRDefault="00743CEB" w:rsidP="00CE42B2">
      <w:pPr>
        <w:jc w:val="both"/>
        <w:rPr>
          <w:b/>
          <w:sz w:val="28"/>
          <w:szCs w:val="28"/>
          <w:u w:val="single"/>
        </w:rPr>
      </w:pPr>
    </w:p>
    <w:p w:rsidR="00D835EA" w:rsidRDefault="00D835EA" w:rsidP="00CE42B2">
      <w:pPr>
        <w:jc w:val="both"/>
      </w:pPr>
      <w:r>
        <w:t>Mr le Maire rend compte au Conseil de l’avenant n°1 au lot n°10 chauffage/ventilation (entreprise</w:t>
      </w:r>
      <w:r w:rsidR="00CA1444">
        <w:t xml:space="preserve"> EIMI) dans le cadre du marché d</w:t>
      </w:r>
      <w:r w:rsidR="00816DAD">
        <w:t>e</w:t>
      </w:r>
      <w:r>
        <w:t xml:space="preserve"> travaux concernant l’aménagement d</w:t>
      </w:r>
      <w:r w:rsidR="00CA1444">
        <w:t>e la</w:t>
      </w:r>
      <w:r>
        <w:t xml:space="preserve"> salle socio-</w:t>
      </w:r>
      <w:r w:rsidR="00CA1444">
        <w:t>culturelle</w:t>
      </w:r>
      <w:r>
        <w:t>.</w:t>
      </w:r>
    </w:p>
    <w:p w:rsidR="00D835EA" w:rsidRDefault="00D835EA" w:rsidP="00CE42B2">
      <w:pPr>
        <w:jc w:val="both"/>
      </w:pPr>
      <w:r>
        <w:t>Cet avenant vise une augmentation du montant du marché initial pour les travaux supplémentaires suivants : « Démontage et remontage de la centrale de traitement d’air pour mise en place dans le local CTA ».</w:t>
      </w:r>
    </w:p>
    <w:p w:rsidR="00D835EA" w:rsidRDefault="00D835EA" w:rsidP="00CE42B2">
      <w:pPr>
        <w:jc w:val="both"/>
      </w:pPr>
      <w:r>
        <w:t>Le montant de cet avenant s’élève à 975 € HT.</w:t>
      </w:r>
    </w:p>
    <w:p w:rsidR="00D835EA" w:rsidRDefault="00D835EA" w:rsidP="00CE42B2">
      <w:pPr>
        <w:jc w:val="both"/>
      </w:pPr>
      <w:r>
        <w:t>Le montant initial du marché était de 72</w:t>
      </w:r>
      <w:r w:rsidR="000B19EB">
        <w:t> </w:t>
      </w:r>
      <w:r>
        <w:t>029</w:t>
      </w:r>
      <w:r w:rsidR="000B19EB">
        <w:t>,90</w:t>
      </w:r>
      <w:r>
        <w:t xml:space="preserve"> € HT. Il passe désormais à 73 004, 90 € HT.</w:t>
      </w:r>
    </w:p>
    <w:p w:rsidR="00076FDE" w:rsidRDefault="00076FDE" w:rsidP="00CE42B2">
      <w:pPr>
        <w:jc w:val="both"/>
      </w:pPr>
    </w:p>
    <w:p w:rsidR="00CB6423" w:rsidRDefault="00CB6423" w:rsidP="00CE42B2">
      <w:pPr>
        <w:jc w:val="both"/>
        <w:rPr>
          <w:b/>
          <w:sz w:val="28"/>
          <w:szCs w:val="28"/>
          <w:u w:val="single"/>
        </w:rPr>
      </w:pPr>
      <w:r w:rsidRPr="00CB6423">
        <w:rPr>
          <w:b/>
          <w:sz w:val="28"/>
          <w:szCs w:val="28"/>
          <w:u w:val="single"/>
        </w:rPr>
        <w:t>8) Informations et questions diverses</w:t>
      </w:r>
    </w:p>
    <w:p w:rsidR="0055623B" w:rsidRDefault="0055623B" w:rsidP="00CE42B2">
      <w:pPr>
        <w:jc w:val="both"/>
        <w:rPr>
          <w:b/>
          <w:sz w:val="28"/>
          <w:szCs w:val="28"/>
          <w:u w:val="single"/>
        </w:rPr>
      </w:pPr>
    </w:p>
    <w:p w:rsidR="000568E6" w:rsidRDefault="000568E6" w:rsidP="000568E6">
      <w:pPr>
        <w:pStyle w:val="Paragraphedeliste"/>
        <w:numPr>
          <w:ilvl w:val="0"/>
          <w:numId w:val="38"/>
        </w:numPr>
        <w:jc w:val="both"/>
      </w:pPr>
      <w:r w:rsidRPr="000568E6">
        <w:t>L’activité BMX est possible pour les jeunes</w:t>
      </w:r>
      <w:r>
        <w:t>, pour cela s’adresser à la commune de CHAMPEY sur laquelle est implantée une piste.</w:t>
      </w:r>
    </w:p>
    <w:p w:rsidR="00A5162C" w:rsidRDefault="00A5162C" w:rsidP="00A5162C">
      <w:pPr>
        <w:jc w:val="both"/>
      </w:pPr>
    </w:p>
    <w:p w:rsidR="00743CEB" w:rsidRDefault="00A5162C" w:rsidP="00A5162C">
      <w:pPr>
        <w:pStyle w:val="Paragraphedeliste"/>
        <w:numPr>
          <w:ilvl w:val="0"/>
          <w:numId w:val="38"/>
        </w:numPr>
        <w:jc w:val="both"/>
      </w:pPr>
      <w:r>
        <w:t xml:space="preserve">Pour les élections législatives des dimanches 11 et 18 juin 2017, le bureau de vote sera ouvert de </w:t>
      </w:r>
    </w:p>
    <w:p w:rsidR="00A5162C" w:rsidRDefault="00A5162C" w:rsidP="00743CEB">
      <w:pPr>
        <w:ind w:left="720"/>
        <w:jc w:val="both"/>
      </w:pPr>
      <w:r>
        <w:t>8</w:t>
      </w:r>
      <w:r w:rsidR="00743CEB">
        <w:t xml:space="preserve"> </w:t>
      </w:r>
      <w:r>
        <w:t xml:space="preserve">h à </w:t>
      </w:r>
      <w:r w:rsidRPr="00743CEB">
        <w:rPr>
          <w:b/>
          <w:sz w:val="28"/>
          <w:szCs w:val="28"/>
          <w:u w:val="single"/>
        </w:rPr>
        <w:t>18h</w:t>
      </w:r>
      <w:r>
        <w:t>.</w:t>
      </w:r>
    </w:p>
    <w:p w:rsidR="00A5162C" w:rsidRDefault="00A5162C" w:rsidP="00A5162C">
      <w:pPr>
        <w:jc w:val="both"/>
      </w:pPr>
    </w:p>
    <w:p w:rsidR="00A5162C" w:rsidRDefault="00A5162C" w:rsidP="00A5162C">
      <w:pPr>
        <w:pStyle w:val="Paragraphedeliste"/>
        <w:numPr>
          <w:ilvl w:val="0"/>
          <w:numId w:val="38"/>
        </w:numPr>
        <w:jc w:val="both"/>
      </w:pPr>
      <w:r>
        <w:t>Le secrétariat de Mairie sera ouvert le vendredi 9 juin de 16h à 18h 30.</w:t>
      </w:r>
    </w:p>
    <w:p w:rsidR="00A5162C" w:rsidRDefault="00A5162C" w:rsidP="00A5162C">
      <w:pPr>
        <w:jc w:val="both"/>
      </w:pPr>
    </w:p>
    <w:p w:rsidR="00A5162C" w:rsidRPr="000568E6" w:rsidRDefault="00323FC2" w:rsidP="00A5162C">
      <w:pPr>
        <w:pStyle w:val="Paragraphedeliste"/>
        <w:numPr>
          <w:ilvl w:val="0"/>
          <w:numId w:val="38"/>
        </w:numPr>
        <w:jc w:val="both"/>
      </w:pPr>
      <w:r>
        <w:t>Les t</w:t>
      </w:r>
      <w:r w:rsidR="00A5162C">
        <w:t xml:space="preserve">ravaux de finition au lotissement la Prairière II </w:t>
      </w:r>
      <w:r>
        <w:t>débuteront</w:t>
      </w:r>
      <w:r w:rsidR="00A30911">
        <w:t xml:space="preserve"> à partir du 31 mai 2017.</w:t>
      </w:r>
    </w:p>
    <w:sectPr w:rsidR="00A5162C" w:rsidRPr="000568E6" w:rsidSect="0073779F">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1F" w:rsidRDefault="0005051F" w:rsidP="00771D61">
      <w:r>
        <w:separator/>
      </w:r>
    </w:p>
  </w:endnote>
  <w:endnote w:type="continuationSeparator" w:id="0">
    <w:p w:rsidR="0005051F" w:rsidRDefault="0005051F" w:rsidP="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1F" w:rsidRDefault="0005051F" w:rsidP="00771D61">
      <w:r>
        <w:separator/>
      </w:r>
    </w:p>
  </w:footnote>
  <w:footnote w:type="continuationSeparator" w:id="0">
    <w:p w:rsidR="0005051F" w:rsidRDefault="0005051F" w:rsidP="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78"/>
    <w:multiLevelType w:val="hybridMultilevel"/>
    <w:tmpl w:val="2526768E"/>
    <w:lvl w:ilvl="0" w:tplc="9DF094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27216"/>
    <w:multiLevelType w:val="hybridMultilevel"/>
    <w:tmpl w:val="9A3438A2"/>
    <w:lvl w:ilvl="0" w:tplc="4EC2E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444E6"/>
    <w:multiLevelType w:val="hybridMultilevel"/>
    <w:tmpl w:val="3E5E2FF8"/>
    <w:lvl w:ilvl="0" w:tplc="0F1E4EC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F542D9"/>
    <w:multiLevelType w:val="hybridMultilevel"/>
    <w:tmpl w:val="E06C30A8"/>
    <w:lvl w:ilvl="0" w:tplc="1C0C590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B3F7D"/>
    <w:multiLevelType w:val="hybridMultilevel"/>
    <w:tmpl w:val="DCD45B74"/>
    <w:lvl w:ilvl="0" w:tplc="ECBED9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36D09"/>
    <w:multiLevelType w:val="hybridMultilevel"/>
    <w:tmpl w:val="156E96E2"/>
    <w:lvl w:ilvl="0" w:tplc="4632504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8706C"/>
    <w:multiLevelType w:val="hybridMultilevel"/>
    <w:tmpl w:val="E9368498"/>
    <w:lvl w:ilvl="0" w:tplc="44F00B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2BD5521"/>
    <w:multiLevelType w:val="hybridMultilevel"/>
    <w:tmpl w:val="638E98FA"/>
    <w:lvl w:ilvl="0" w:tplc="810AF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942"/>
    <w:multiLevelType w:val="hybridMultilevel"/>
    <w:tmpl w:val="21A071F2"/>
    <w:lvl w:ilvl="0" w:tplc="84C2A52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322FE"/>
    <w:multiLevelType w:val="hybridMultilevel"/>
    <w:tmpl w:val="CE68E0A6"/>
    <w:lvl w:ilvl="0" w:tplc="D19034E0">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72332A7"/>
    <w:multiLevelType w:val="hybridMultilevel"/>
    <w:tmpl w:val="EB50F796"/>
    <w:lvl w:ilvl="0" w:tplc="EB0E2E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E74E8"/>
    <w:multiLevelType w:val="hybridMultilevel"/>
    <w:tmpl w:val="DB5ABAF2"/>
    <w:lvl w:ilvl="0" w:tplc="3E2816C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1357930"/>
    <w:multiLevelType w:val="hybridMultilevel"/>
    <w:tmpl w:val="F9328BC0"/>
    <w:lvl w:ilvl="0" w:tplc="0A1088D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6C034D"/>
    <w:multiLevelType w:val="hybridMultilevel"/>
    <w:tmpl w:val="72242B58"/>
    <w:lvl w:ilvl="0" w:tplc="FF8887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7C42BC3"/>
    <w:multiLevelType w:val="hybridMultilevel"/>
    <w:tmpl w:val="245076D8"/>
    <w:lvl w:ilvl="0" w:tplc="F0B860E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33D06"/>
    <w:multiLevelType w:val="hybridMultilevel"/>
    <w:tmpl w:val="FC946F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EF319B"/>
    <w:multiLevelType w:val="hybridMultilevel"/>
    <w:tmpl w:val="104A2DD2"/>
    <w:lvl w:ilvl="0" w:tplc="67EC2F18">
      <w:start w:val="4"/>
      <w:numFmt w:val="bullet"/>
      <w:lvlText w:val="-"/>
      <w:lvlJc w:val="left"/>
      <w:pPr>
        <w:ind w:left="8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BCB2339"/>
    <w:multiLevelType w:val="hybridMultilevel"/>
    <w:tmpl w:val="09346AF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B2161"/>
    <w:multiLevelType w:val="hybridMultilevel"/>
    <w:tmpl w:val="B9B84D82"/>
    <w:lvl w:ilvl="0" w:tplc="991A27D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A3EE5"/>
    <w:multiLevelType w:val="hybridMultilevel"/>
    <w:tmpl w:val="C2AA9EFE"/>
    <w:lvl w:ilvl="0" w:tplc="7ED64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C918E7"/>
    <w:multiLevelType w:val="hybridMultilevel"/>
    <w:tmpl w:val="34841CBE"/>
    <w:lvl w:ilvl="0" w:tplc="65249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AC339F"/>
    <w:multiLevelType w:val="hybridMultilevel"/>
    <w:tmpl w:val="B428DC34"/>
    <w:lvl w:ilvl="0" w:tplc="BEB49E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4CB7451"/>
    <w:multiLevelType w:val="hybridMultilevel"/>
    <w:tmpl w:val="9794A5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13541A"/>
    <w:multiLevelType w:val="hybridMultilevel"/>
    <w:tmpl w:val="DD884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E77978"/>
    <w:multiLevelType w:val="hybridMultilevel"/>
    <w:tmpl w:val="60B21222"/>
    <w:lvl w:ilvl="0" w:tplc="76287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12326A"/>
    <w:multiLevelType w:val="hybridMultilevel"/>
    <w:tmpl w:val="37809056"/>
    <w:lvl w:ilvl="0" w:tplc="197274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826F5C"/>
    <w:multiLevelType w:val="hybridMultilevel"/>
    <w:tmpl w:val="B4301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D720B8"/>
    <w:multiLevelType w:val="hybridMultilevel"/>
    <w:tmpl w:val="ADA63D26"/>
    <w:lvl w:ilvl="0" w:tplc="D6F4C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D20D97"/>
    <w:multiLevelType w:val="hybridMultilevel"/>
    <w:tmpl w:val="E42856BE"/>
    <w:lvl w:ilvl="0" w:tplc="ECC4C9F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A75E16"/>
    <w:multiLevelType w:val="hybridMultilevel"/>
    <w:tmpl w:val="BF989EC2"/>
    <w:lvl w:ilvl="0" w:tplc="2886EF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CC6FFB"/>
    <w:multiLevelType w:val="hybridMultilevel"/>
    <w:tmpl w:val="C36A3E6E"/>
    <w:lvl w:ilvl="0" w:tplc="AAAC1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E6254D"/>
    <w:multiLevelType w:val="hybridMultilevel"/>
    <w:tmpl w:val="BFD4AA8C"/>
    <w:lvl w:ilvl="0" w:tplc="3D94B22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D8327C"/>
    <w:multiLevelType w:val="hybridMultilevel"/>
    <w:tmpl w:val="DDA23644"/>
    <w:lvl w:ilvl="0" w:tplc="C39E170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CB616B"/>
    <w:multiLevelType w:val="hybridMultilevel"/>
    <w:tmpl w:val="460CC48C"/>
    <w:lvl w:ilvl="0" w:tplc="EABE37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527FC6"/>
    <w:multiLevelType w:val="hybridMultilevel"/>
    <w:tmpl w:val="00D07CB0"/>
    <w:lvl w:ilvl="0" w:tplc="0D14F6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3A1E96"/>
    <w:multiLevelType w:val="hybridMultilevel"/>
    <w:tmpl w:val="A522B0BC"/>
    <w:lvl w:ilvl="0" w:tplc="33046E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347014"/>
    <w:multiLevelType w:val="hybridMultilevel"/>
    <w:tmpl w:val="124C6F74"/>
    <w:lvl w:ilvl="0" w:tplc="049408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557784"/>
    <w:multiLevelType w:val="hybridMultilevel"/>
    <w:tmpl w:val="3224ECCC"/>
    <w:lvl w:ilvl="0" w:tplc="A9EA13C8">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15:restartNumberingAfterBreak="0">
    <w:nsid w:val="7D742651"/>
    <w:multiLevelType w:val="hybridMultilevel"/>
    <w:tmpl w:val="F134FE5A"/>
    <w:lvl w:ilvl="0" w:tplc="336C0408">
      <w:start w:val="3"/>
      <w:numFmt w:val="bullet"/>
      <w:lvlText w:val="-"/>
      <w:lvlJc w:val="left"/>
      <w:pPr>
        <w:ind w:left="2865" w:hanging="360"/>
      </w:pPr>
      <w:rPr>
        <w:rFonts w:ascii="Times New Roman" w:eastAsia="Times New Roman" w:hAnsi="Times New Roman" w:cs="Times New Roman"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num w:numId="1">
    <w:abstractNumId w:val="2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4"/>
  </w:num>
  <w:num w:numId="7">
    <w:abstractNumId w:val="30"/>
  </w:num>
  <w:num w:numId="8">
    <w:abstractNumId w:val="18"/>
  </w:num>
  <w:num w:numId="9">
    <w:abstractNumId w:val="6"/>
  </w:num>
  <w:num w:numId="10">
    <w:abstractNumId w:val="2"/>
  </w:num>
  <w:num w:numId="11">
    <w:abstractNumId w:val="10"/>
  </w:num>
  <w:num w:numId="12">
    <w:abstractNumId w:val="37"/>
  </w:num>
  <w:num w:numId="13">
    <w:abstractNumId w:val="25"/>
  </w:num>
  <w:num w:numId="14">
    <w:abstractNumId w:val="27"/>
  </w:num>
  <w:num w:numId="15">
    <w:abstractNumId w:val="12"/>
  </w:num>
  <w:num w:numId="16">
    <w:abstractNumId w:val="22"/>
  </w:num>
  <w:num w:numId="17">
    <w:abstractNumId w:val="1"/>
  </w:num>
  <w:num w:numId="18">
    <w:abstractNumId w:val="23"/>
  </w:num>
  <w:num w:numId="19">
    <w:abstractNumId w:val="28"/>
  </w:num>
  <w:num w:numId="20">
    <w:abstractNumId w:val="5"/>
  </w:num>
  <w:num w:numId="21">
    <w:abstractNumId w:val="34"/>
  </w:num>
  <w:num w:numId="22">
    <w:abstractNumId w:val="39"/>
  </w:num>
  <w:num w:numId="23">
    <w:abstractNumId w:val="13"/>
  </w:num>
  <w:num w:numId="24">
    <w:abstractNumId w:val="19"/>
  </w:num>
  <w:num w:numId="25">
    <w:abstractNumId w:val="26"/>
  </w:num>
  <w:num w:numId="26">
    <w:abstractNumId w:val="9"/>
  </w:num>
  <w:num w:numId="27">
    <w:abstractNumId w:val="35"/>
  </w:num>
  <w:num w:numId="28">
    <w:abstractNumId w:val="8"/>
  </w:num>
  <w:num w:numId="29">
    <w:abstractNumId w:val="31"/>
  </w:num>
  <w:num w:numId="30">
    <w:abstractNumId w:val="29"/>
  </w:num>
  <w:num w:numId="31">
    <w:abstractNumId w:val="3"/>
  </w:num>
  <w:num w:numId="32">
    <w:abstractNumId w:val="0"/>
  </w:num>
  <w:num w:numId="33">
    <w:abstractNumId w:val="36"/>
  </w:num>
  <w:num w:numId="34">
    <w:abstractNumId w:val="33"/>
  </w:num>
  <w:num w:numId="35">
    <w:abstractNumId w:val="15"/>
  </w:num>
  <w:num w:numId="36">
    <w:abstractNumId w:val="14"/>
  </w:num>
  <w:num w:numId="37">
    <w:abstractNumId w:val="32"/>
  </w:num>
  <w:num w:numId="38">
    <w:abstractNumId w:val="21"/>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6"/>
    <w:rsid w:val="000018C8"/>
    <w:rsid w:val="000025D9"/>
    <w:rsid w:val="00007562"/>
    <w:rsid w:val="000114A0"/>
    <w:rsid w:val="00013CE8"/>
    <w:rsid w:val="00021AEB"/>
    <w:rsid w:val="00021E17"/>
    <w:rsid w:val="00022F00"/>
    <w:rsid w:val="000235AE"/>
    <w:rsid w:val="00027E98"/>
    <w:rsid w:val="00041B6F"/>
    <w:rsid w:val="000432E0"/>
    <w:rsid w:val="0005051F"/>
    <w:rsid w:val="000524AA"/>
    <w:rsid w:val="00054203"/>
    <w:rsid w:val="000568E6"/>
    <w:rsid w:val="00062ED5"/>
    <w:rsid w:val="00076C3D"/>
    <w:rsid w:val="00076FDE"/>
    <w:rsid w:val="00077A40"/>
    <w:rsid w:val="0009546C"/>
    <w:rsid w:val="000A586D"/>
    <w:rsid w:val="000B19EB"/>
    <w:rsid w:val="000B35D4"/>
    <w:rsid w:val="000B53A7"/>
    <w:rsid w:val="000B60EA"/>
    <w:rsid w:val="000C051A"/>
    <w:rsid w:val="000D3530"/>
    <w:rsid w:val="000D4F3A"/>
    <w:rsid w:val="000D60C7"/>
    <w:rsid w:val="000E0F36"/>
    <w:rsid w:val="000F6D9B"/>
    <w:rsid w:val="0013459B"/>
    <w:rsid w:val="00140CC4"/>
    <w:rsid w:val="0014146D"/>
    <w:rsid w:val="0014313C"/>
    <w:rsid w:val="00146280"/>
    <w:rsid w:val="00147E4C"/>
    <w:rsid w:val="00152CC9"/>
    <w:rsid w:val="0015511F"/>
    <w:rsid w:val="001565BC"/>
    <w:rsid w:val="00157389"/>
    <w:rsid w:val="001745DE"/>
    <w:rsid w:val="00174836"/>
    <w:rsid w:val="0018173B"/>
    <w:rsid w:val="00185F08"/>
    <w:rsid w:val="00187AF3"/>
    <w:rsid w:val="0019035A"/>
    <w:rsid w:val="00196594"/>
    <w:rsid w:val="00196C7F"/>
    <w:rsid w:val="001A40B5"/>
    <w:rsid w:val="001A457D"/>
    <w:rsid w:val="001B231F"/>
    <w:rsid w:val="001E0DF1"/>
    <w:rsid w:val="001F4AE3"/>
    <w:rsid w:val="0020201A"/>
    <w:rsid w:val="00203A87"/>
    <w:rsid w:val="00213DE8"/>
    <w:rsid w:val="00214AAA"/>
    <w:rsid w:val="002235CC"/>
    <w:rsid w:val="0023561A"/>
    <w:rsid w:val="00242C3A"/>
    <w:rsid w:val="002433FF"/>
    <w:rsid w:val="0024732E"/>
    <w:rsid w:val="00255BB3"/>
    <w:rsid w:val="00255E21"/>
    <w:rsid w:val="00262191"/>
    <w:rsid w:val="00267054"/>
    <w:rsid w:val="0027500E"/>
    <w:rsid w:val="002755BC"/>
    <w:rsid w:val="00277207"/>
    <w:rsid w:val="002837C6"/>
    <w:rsid w:val="00284178"/>
    <w:rsid w:val="002841E2"/>
    <w:rsid w:val="002870F3"/>
    <w:rsid w:val="00290F46"/>
    <w:rsid w:val="00297E88"/>
    <w:rsid w:val="002A6F0A"/>
    <w:rsid w:val="002B2B26"/>
    <w:rsid w:val="002D4C0C"/>
    <w:rsid w:val="002E3EDA"/>
    <w:rsid w:val="002E7111"/>
    <w:rsid w:val="002F230C"/>
    <w:rsid w:val="002F57E8"/>
    <w:rsid w:val="002F68D2"/>
    <w:rsid w:val="002F7A73"/>
    <w:rsid w:val="003000A5"/>
    <w:rsid w:val="00300E19"/>
    <w:rsid w:val="0030602F"/>
    <w:rsid w:val="00312CEA"/>
    <w:rsid w:val="00315808"/>
    <w:rsid w:val="003167BF"/>
    <w:rsid w:val="00320D41"/>
    <w:rsid w:val="00323FC2"/>
    <w:rsid w:val="00333AAA"/>
    <w:rsid w:val="00333B5F"/>
    <w:rsid w:val="00343EE7"/>
    <w:rsid w:val="00345607"/>
    <w:rsid w:val="00345D5E"/>
    <w:rsid w:val="00347768"/>
    <w:rsid w:val="00353D86"/>
    <w:rsid w:val="00356423"/>
    <w:rsid w:val="003656DD"/>
    <w:rsid w:val="00370369"/>
    <w:rsid w:val="00372B50"/>
    <w:rsid w:val="00373B6A"/>
    <w:rsid w:val="00375269"/>
    <w:rsid w:val="003800B5"/>
    <w:rsid w:val="00381196"/>
    <w:rsid w:val="003818C0"/>
    <w:rsid w:val="00387878"/>
    <w:rsid w:val="00391E39"/>
    <w:rsid w:val="00393BB0"/>
    <w:rsid w:val="003B0D20"/>
    <w:rsid w:val="003C1E56"/>
    <w:rsid w:val="003D0203"/>
    <w:rsid w:val="003D2001"/>
    <w:rsid w:val="003D42CF"/>
    <w:rsid w:val="003E0D3E"/>
    <w:rsid w:val="003F268A"/>
    <w:rsid w:val="003F428C"/>
    <w:rsid w:val="003F611B"/>
    <w:rsid w:val="003F75A8"/>
    <w:rsid w:val="0040623D"/>
    <w:rsid w:val="00407065"/>
    <w:rsid w:val="004100D5"/>
    <w:rsid w:val="004135C5"/>
    <w:rsid w:val="00415ABF"/>
    <w:rsid w:val="00421C45"/>
    <w:rsid w:val="00424336"/>
    <w:rsid w:val="004277E9"/>
    <w:rsid w:val="004337FB"/>
    <w:rsid w:val="00435C87"/>
    <w:rsid w:val="00437BCA"/>
    <w:rsid w:val="00447D7B"/>
    <w:rsid w:val="004514E1"/>
    <w:rsid w:val="00451701"/>
    <w:rsid w:val="0046008C"/>
    <w:rsid w:val="00470259"/>
    <w:rsid w:val="00471313"/>
    <w:rsid w:val="00474BEE"/>
    <w:rsid w:val="004763B5"/>
    <w:rsid w:val="00481C17"/>
    <w:rsid w:val="004848CA"/>
    <w:rsid w:val="0048565C"/>
    <w:rsid w:val="00496BE6"/>
    <w:rsid w:val="004A0876"/>
    <w:rsid w:val="004B1995"/>
    <w:rsid w:val="004C1624"/>
    <w:rsid w:val="004C2E81"/>
    <w:rsid w:val="004C71BD"/>
    <w:rsid w:val="004E5E30"/>
    <w:rsid w:val="00507597"/>
    <w:rsid w:val="005137A7"/>
    <w:rsid w:val="00515654"/>
    <w:rsid w:val="00526931"/>
    <w:rsid w:val="00543025"/>
    <w:rsid w:val="00551021"/>
    <w:rsid w:val="0055623B"/>
    <w:rsid w:val="00560AF3"/>
    <w:rsid w:val="00575E9D"/>
    <w:rsid w:val="00580B0C"/>
    <w:rsid w:val="005875FF"/>
    <w:rsid w:val="00595490"/>
    <w:rsid w:val="005A1B65"/>
    <w:rsid w:val="005C2391"/>
    <w:rsid w:val="005C4EDA"/>
    <w:rsid w:val="005C7D82"/>
    <w:rsid w:val="005D1DD3"/>
    <w:rsid w:val="005E794A"/>
    <w:rsid w:val="005F5E05"/>
    <w:rsid w:val="00600D4E"/>
    <w:rsid w:val="00601DDE"/>
    <w:rsid w:val="006052A8"/>
    <w:rsid w:val="00614F27"/>
    <w:rsid w:val="00622EF7"/>
    <w:rsid w:val="00631BB1"/>
    <w:rsid w:val="00641B2D"/>
    <w:rsid w:val="00645DB5"/>
    <w:rsid w:val="0064653C"/>
    <w:rsid w:val="006544A5"/>
    <w:rsid w:val="00656ABF"/>
    <w:rsid w:val="0066219C"/>
    <w:rsid w:val="0066265C"/>
    <w:rsid w:val="006733DB"/>
    <w:rsid w:val="006734BB"/>
    <w:rsid w:val="0068578E"/>
    <w:rsid w:val="00687FE9"/>
    <w:rsid w:val="006915D2"/>
    <w:rsid w:val="00691B21"/>
    <w:rsid w:val="00691F73"/>
    <w:rsid w:val="00694443"/>
    <w:rsid w:val="0069642A"/>
    <w:rsid w:val="006A567A"/>
    <w:rsid w:val="006A5BB2"/>
    <w:rsid w:val="006B2739"/>
    <w:rsid w:val="006B4CBA"/>
    <w:rsid w:val="006C70F8"/>
    <w:rsid w:val="006D1DFE"/>
    <w:rsid w:val="006D5DA5"/>
    <w:rsid w:val="006E5443"/>
    <w:rsid w:val="006E6DA8"/>
    <w:rsid w:val="006F012A"/>
    <w:rsid w:val="006F3041"/>
    <w:rsid w:val="0071179B"/>
    <w:rsid w:val="007300FB"/>
    <w:rsid w:val="0073779F"/>
    <w:rsid w:val="00737F2A"/>
    <w:rsid w:val="00740CF9"/>
    <w:rsid w:val="0074103E"/>
    <w:rsid w:val="00743CEB"/>
    <w:rsid w:val="00745617"/>
    <w:rsid w:val="007456C2"/>
    <w:rsid w:val="00746996"/>
    <w:rsid w:val="007569D9"/>
    <w:rsid w:val="00756F47"/>
    <w:rsid w:val="00763429"/>
    <w:rsid w:val="00766A80"/>
    <w:rsid w:val="00771D61"/>
    <w:rsid w:val="007916F1"/>
    <w:rsid w:val="00797625"/>
    <w:rsid w:val="007A5A95"/>
    <w:rsid w:val="007B1067"/>
    <w:rsid w:val="007B6E3F"/>
    <w:rsid w:val="007C4204"/>
    <w:rsid w:val="007C44D8"/>
    <w:rsid w:val="007C5044"/>
    <w:rsid w:val="007C60C0"/>
    <w:rsid w:val="007D6297"/>
    <w:rsid w:val="007E49F0"/>
    <w:rsid w:val="007E5A24"/>
    <w:rsid w:val="007F2237"/>
    <w:rsid w:val="00812E97"/>
    <w:rsid w:val="00816DAD"/>
    <w:rsid w:val="00823404"/>
    <w:rsid w:val="0082619D"/>
    <w:rsid w:val="00826943"/>
    <w:rsid w:val="0083332B"/>
    <w:rsid w:val="008343A8"/>
    <w:rsid w:val="00834D4B"/>
    <w:rsid w:val="00835D62"/>
    <w:rsid w:val="0083666B"/>
    <w:rsid w:val="00853C73"/>
    <w:rsid w:val="00860979"/>
    <w:rsid w:val="00861C16"/>
    <w:rsid w:val="00872C39"/>
    <w:rsid w:val="00873493"/>
    <w:rsid w:val="00875233"/>
    <w:rsid w:val="00875AB9"/>
    <w:rsid w:val="00877E78"/>
    <w:rsid w:val="008A24F0"/>
    <w:rsid w:val="008B1C8A"/>
    <w:rsid w:val="008B49EA"/>
    <w:rsid w:val="008B4A1C"/>
    <w:rsid w:val="008B605D"/>
    <w:rsid w:val="008B6819"/>
    <w:rsid w:val="008B6E3C"/>
    <w:rsid w:val="008C1334"/>
    <w:rsid w:val="008D4B55"/>
    <w:rsid w:val="008F3B7A"/>
    <w:rsid w:val="008F73FD"/>
    <w:rsid w:val="0090003E"/>
    <w:rsid w:val="009276AE"/>
    <w:rsid w:val="00930633"/>
    <w:rsid w:val="009429DF"/>
    <w:rsid w:val="00942FFA"/>
    <w:rsid w:val="00945700"/>
    <w:rsid w:val="009659A1"/>
    <w:rsid w:val="00967525"/>
    <w:rsid w:val="00970827"/>
    <w:rsid w:val="00981138"/>
    <w:rsid w:val="00983CDF"/>
    <w:rsid w:val="00985AFC"/>
    <w:rsid w:val="009873FD"/>
    <w:rsid w:val="00993393"/>
    <w:rsid w:val="009949C0"/>
    <w:rsid w:val="009955C6"/>
    <w:rsid w:val="00995FC9"/>
    <w:rsid w:val="009963DE"/>
    <w:rsid w:val="009A218F"/>
    <w:rsid w:val="009A722D"/>
    <w:rsid w:val="009C6242"/>
    <w:rsid w:val="009E1D54"/>
    <w:rsid w:val="009E43D8"/>
    <w:rsid w:val="009E7021"/>
    <w:rsid w:val="009F1D84"/>
    <w:rsid w:val="009F6716"/>
    <w:rsid w:val="009F7FC1"/>
    <w:rsid w:val="00A00564"/>
    <w:rsid w:val="00A0599A"/>
    <w:rsid w:val="00A1515F"/>
    <w:rsid w:val="00A21D26"/>
    <w:rsid w:val="00A24B72"/>
    <w:rsid w:val="00A266B9"/>
    <w:rsid w:val="00A2725B"/>
    <w:rsid w:val="00A30911"/>
    <w:rsid w:val="00A360CD"/>
    <w:rsid w:val="00A45E8D"/>
    <w:rsid w:val="00A5162C"/>
    <w:rsid w:val="00A60672"/>
    <w:rsid w:val="00A60B49"/>
    <w:rsid w:val="00A6325C"/>
    <w:rsid w:val="00A678FD"/>
    <w:rsid w:val="00A73624"/>
    <w:rsid w:val="00A77FA3"/>
    <w:rsid w:val="00A8021F"/>
    <w:rsid w:val="00A86385"/>
    <w:rsid w:val="00A910CA"/>
    <w:rsid w:val="00A92133"/>
    <w:rsid w:val="00AA0669"/>
    <w:rsid w:val="00AA391D"/>
    <w:rsid w:val="00AC13D5"/>
    <w:rsid w:val="00AC1E6C"/>
    <w:rsid w:val="00AC2857"/>
    <w:rsid w:val="00AC446D"/>
    <w:rsid w:val="00AC5C45"/>
    <w:rsid w:val="00AD1AC8"/>
    <w:rsid w:val="00AD690E"/>
    <w:rsid w:val="00AD7374"/>
    <w:rsid w:val="00AE6C88"/>
    <w:rsid w:val="00B100E3"/>
    <w:rsid w:val="00B10B55"/>
    <w:rsid w:val="00B226E6"/>
    <w:rsid w:val="00B2608F"/>
    <w:rsid w:val="00B34F04"/>
    <w:rsid w:val="00B56A0A"/>
    <w:rsid w:val="00B73447"/>
    <w:rsid w:val="00B81DA7"/>
    <w:rsid w:val="00B97829"/>
    <w:rsid w:val="00BA30DD"/>
    <w:rsid w:val="00BA4868"/>
    <w:rsid w:val="00BC01AE"/>
    <w:rsid w:val="00BD3719"/>
    <w:rsid w:val="00BD4D2C"/>
    <w:rsid w:val="00BD6B53"/>
    <w:rsid w:val="00BE037A"/>
    <w:rsid w:val="00BE7763"/>
    <w:rsid w:val="00BF2137"/>
    <w:rsid w:val="00BF2213"/>
    <w:rsid w:val="00BF5F9F"/>
    <w:rsid w:val="00BF7BFB"/>
    <w:rsid w:val="00C1150B"/>
    <w:rsid w:val="00C16C7C"/>
    <w:rsid w:val="00C22014"/>
    <w:rsid w:val="00C22B55"/>
    <w:rsid w:val="00C22E68"/>
    <w:rsid w:val="00C261EE"/>
    <w:rsid w:val="00C4435F"/>
    <w:rsid w:val="00C61339"/>
    <w:rsid w:val="00C6340A"/>
    <w:rsid w:val="00C856F8"/>
    <w:rsid w:val="00C90628"/>
    <w:rsid w:val="00C91620"/>
    <w:rsid w:val="00CA1444"/>
    <w:rsid w:val="00CA170D"/>
    <w:rsid w:val="00CB49F8"/>
    <w:rsid w:val="00CB6423"/>
    <w:rsid w:val="00CC02B1"/>
    <w:rsid w:val="00CC031D"/>
    <w:rsid w:val="00CC36DB"/>
    <w:rsid w:val="00CD6908"/>
    <w:rsid w:val="00CE42B2"/>
    <w:rsid w:val="00CE59D1"/>
    <w:rsid w:val="00CE5B48"/>
    <w:rsid w:val="00CF45A7"/>
    <w:rsid w:val="00D06D4C"/>
    <w:rsid w:val="00D12FA9"/>
    <w:rsid w:val="00D168C0"/>
    <w:rsid w:val="00D22D52"/>
    <w:rsid w:val="00D249F1"/>
    <w:rsid w:val="00D411CC"/>
    <w:rsid w:val="00D471B0"/>
    <w:rsid w:val="00D61ACF"/>
    <w:rsid w:val="00D63226"/>
    <w:rsid w:val="00D76DB8"/>
    <w:rsid w:val="00D77093"/>
    <w:rsid w:val="00D835EA"/>
    <w:rsid w:val="00D86EAF"/>
    <w:rsid w:val="00D9391E"/>
    <w:rsid w:val="00D95B8E"/>
    <w:rsid w:val="00DA5372"/>
    <w:rsid w:val="00DA5C78"/>
    <w:rsid w:val="00DC0DEF"/>
    <w:rsid w:val="00DD527D"/>
    <w:rsid w:val="00DD5551"/>
    <w:rsid w:val="00DD5715"/>
    <w:rsid w:val="00DD7B3E"/>
    <w:rsid w:val="00DE1496"/>
    <w:rsid w:val="00DE1570"/>
    <w:rsid w:val="00DF1F68"/>
    <w:rsid w:val="00DF1FCA"/>
    <w:rsid w:val="00E052F9"/>
    <w:rsid w:val="00E07061"/>
    <w:rsid w:val="00E101A8"/>
    <w:rsid w:val="00E13597"/>
    <w:rsid w:val="00E22DE2"/>
    <w:rsid w:val="00E26AF0"/>
    <w:rsid w:val="00E2702E"/>
    <w:rsid w:val="00E4421E"/>
    <w:rsid w:val="00E44BF5"/>
    <w:rsid w:val="00E53950"/>
    <w:rsid w:val="00E607F1"/>
    <w:rsid w:val="00E63CA0"/>
    <w:rsid w:val="00E6539B"/>
    <w:rsid w:val="00E733A3"/>
    <w:rsid w:val="00E73EF3"/>
    <w:rsid w:val="00E763F6"/>
    <w:rsid w:val="00E94D00"/>
    <w:rsid w:val="00E95D44"/>
    <w:rsid w:val="00EA03E2"/>
    <w:rsid w:val="00EA2A11"/>
    <w:rsid w:val="00EB410B"/>
    <w:rsid w:val="00EC0BDA"/>
    <w:rsid w:val="00EE3683"/>
    <w:rsid w:val="00EE491E"/>
    <w:rsid w:val="00EE78D8"/>
    <w:rsid w:val="00EF7B54"/>
    <w:rsid w:val="00F13755"/>
    <w:rsid w:val="00F1387E"/>
    <w:rsid w:val="00F172B1"/>
    <w:rsid w:val="00F22EDE"/>
    <w:rsid w:val="00F24968"/>
    <w:rsid w:val="00F26A87"/>
    <w:rsid w:val="00F274B1"/>
    <w:rsid w:val="00F43599"/>
    <w:rsid w:val="00F54635"/>
    <w:rsid w:val="00F90BC6"/>
    <w:rsid w:val="00F927DB"/>
    <w:rsid w:val="00F97DA8"/>
    <w:rsid w:val="00FA3183"/>
    <w:rsid w:val="00FB2429"/>
    <w:rsid w:val="00FB408E"/>
    <w:rsid w:val="00FB5EEC"/>
    <w:rsid w:val="00FC47B2"/>
    <w:rsid w:val="00FC47DD"/>
    <w:rsid w:val="00FD6C4C"/>
    <w:rsid w:val="00FD727B"/>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742CC-C5D1-4CFD-A106-405DF85C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CEA"/>
    <w:pPr>
      <w:ind w:left="720"/>
      <w:contextualSpacing/>
    </w:pPr>
  </w:style>
  <w:style w:type="character" w:styleId="Lienhypertexte">
    <w:name w:val="Hyperlink"/>
    <w:basedOn w:val="Policepardfaut"/>
    <w:uiPriority w:val="99"/>
    <w:unhideWhenUsed/>
    <w:rsid w:val="000B60EA"/>
    <w:rPr>
      <w:color w:val="0000FF" w:themeColor="hyperlink"/>
      <w:u w:val="single"/>
    </w:rPr>
  </w:style>
  <w:style w:type="paragraph" w:styleId="En-tte">
    <w:name w:val="header"/>
    <w:basedOn w:val="Normal"/>
    <w:link w:val="En-tteCar"/>
    <w:uiPriority w:val="99"/>
    <w:semiHidden/>
    <w:unhideWhenUsed/>
    <w:rsid w:val="00771D61"/>
    <w:pPr>
      <w:tabs>
        <w:tab w:val="center" w:pos="4536"/>
        <w:tab w:val="right" w:pos="9072"/>
      </w:tabs>
    </w:pPr>
  </w:style>
  <w:style w:type="character" w:customStyle="1" w:styleId="En-tteCar">
    <w:name w:val="En-tête Car"/>
    <w:basedOn w:val="Policepardfaut"/>
    <w:link w:val="En-tte"/>
    <w:uiPriority w:val="99"/>
    <w:semiHidden/>
    <w:rsid w:val="00771D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771D61"/>
    <w:pPr>
      <w:tabs>
        <w:tab w:val="center" w:pos="4536"/>
        <w:tab w:val="right" w:pos="9072"/>
      </w:tabs>
    </w:pPr>
  </w:style>
  <w:style w:type="character" w:customStyle="1" w:styleId="PieddepageCar">
    <w:name w:val="Pied de page Car"/>
    <w:basedOn w:val="Policepardfaut"/>
    <w:link w:val="Pieddepage"/>
    <w:uiPriority w:val="99"/>
    <w:semiHidden/>
    <w:rsid w:val="00771D6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8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8CA"/>
    <w:rPr>
      <w:rFonts w:ascii="Segoe UI" w:eastAsia="Times New Roman" w:hAnsi="Segoe UI" w:cs="Segoe UI"/>
      <w:sz w:val="18"/>
      <w:szCs w:val="18"/>
      <w:lang w:eastAsia="fr-FR"/>
    </w:rPr>
  </w:style>
  <w:style w:type="paragraph" w:styleId="Sansinterligne">
    <w:name w:val="No Spacing"/>
    <w:uiPriority w:val="1"/>
    <w:qFormat/>
    <w:rsid w:val="00D76DB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5F"/>
    <w:rPr>
      <w:color w:val="808080"/>
    </w:rPr>
  </w:style>
  <w:style w:type="paragraph" w:customStyle="1" w:styleId="Standard">
    <w:name w:val="Standard"/>
    <w:rsid w:val="00AC1E6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167">
      <w:bodyDiv w:val="1"/>
      <w:marLeft w:val="0"/>
      <w:marRight w:val="0"/>
      <w:marTop w:val="0"/>
      <w:marBottom w:val="0"/>
      <w:divBdr>
        <w:top w:val="none" w:sz="0" w:space="0" w:color="auto"/>
        <w:left w:val="none" w:sz="0" w:space="0" w:color="auto"/>
        <w:bottom w:val="none" w:sz="0" w:space="0" w:color="auto"/>
        <w:right w:val="none" w:sz="0" w:space="0" w:color="auto"/>
      </w:divBdr>
    </w:div>
    <w:div w:id="1368287982">
      <w:bodyDiv w:val="1"/>
      <w:marLeft w:val="0"/>
      <w:marRight w:val="0"/>
      <w:marTop w:val="0"/>
      <w:marBottom w:val="0"/>
      <w:divBdr>
        <w:top w:val="none" w:sz="0" w:space="0" w:color="auto"/>
        <w:left w:val="none" w:sz="0" w:space="0" w:color="auto"/>
        <w:bottom w:val="none" w:sz="0" w:space="0" w:color="auto"/>
        <w:right w:val="none" w:sz="0" w:space="0" w:color="auto"/>
      </w:divBdr>
    </w:div>
    <w:div w:id="1938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F5CA-8B39-4369-A132-0618733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Mairie</cp:lastModifiedBy>
  <cp:revision>2</cp:revision>
  <cp:lastPrinted>2017-05-30T15:13:00Z</cp:lastPrinted>
  <dcterms:created xsi:type="dcterms:W3CDTF">2017-05-30T16:07:00Z</dcterms:created>
  <dcterms:modified xsi:type="dcterms:W3CDTF">2017-05-30T16:07:00Z</dcterms:modified>
</cp:coreProperties>
</file>